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BA3743">
        <w:rPr>
          <w:rFonts w:ascii="Palatino Linotype" w:hAnsi="Palatino Linotype" w:cs="Arial"/>
          <w:b/>
          <w:sz w:val="24"/>
          <w:szCs w:val="24"/>
        </w:rPr>
        <w:t>0</w:t>
      </w:r>
      <w:r w:rsidR="00BE66A6">
        <w:rPr>
          <w:rFonts w:ascii="Palatino Linotype" w:hAnsi="Palatino Linotype" w:cs="Arial"/>
          <w:b/>
          <w:sz w:val="24"/>
          <w:szCs w:val="24"/>
        </w:rPr>
        <w:t>4255</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902248" w:rsidRPr="00072966" w:rsidRDefault="00902248" w:rsidP="003C7244">
      <w:pPr>
        <w:spacing w:after="0" w:line="276"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072966"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72966" w:rsidRDefault="00902248" w:rsidP="007879C6">
      <w:pPr>
        <w:spacing w:after="0" w:line="360" w:lineRule="auto"/>
        <w:jc w:val="both"/>
        <w:rPr>
          <w:rFonts w:ascii="Palatino Linotype" w:hAnsi="Palatino Linotype" w:cs="Arial"/>
          <w:sz w:val="24"/>
          <w:szCs w:val="24"/>
        </w:rPr>
      </w:pPr>
    </w:p>
    <w:p w:rsidR="0046491C" w:rsidRPr="00072966"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La figura de actos consentidos no debe ser invocada en el derecho humano fundamental de acceder a la información pública gubernamental.</w:t>
      </w:r>
    </w:p>
    <w:p w:rsidR="0001046D" w:rsidRPr="00072966" w:rsidRDefault="0001046D" w:rsidP="007879C6">
      <w:pPr>
        <w:spacing w:after="0" w:line="360" w:lineRule="auto"/>
        <w:jc w:val="both"/>
        <w:rPr>
          <w:rFonts w:ascii="Palatino Linotype" w:hAnsi="Palatino Linotype" w:cs="Arial"/>
          <w:sz w:val="24"/>
          <w:szCs w:val="24"/>
        </w:rPr>
      </w:pPr>
    </w:p>
    <w:p w:rsidR="0046491C" w:rsidRPr="00072966"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72966" w:rsidRDefault="0046491C" w:rsidP="007879C6">
      <w:pPr>
        <w:spacing w:after="0" w:line="360" w:lineRule="auto"/>
        <w:jc w:val="both"/>
        <w:rPr>
          <w:rFonts w:ascii="Palatino Linotype" w:hAnsi="Palatino Linotype" w:cs="Arial"/>
          <w:sz w:val="24"/>
          <w:szCs w:val="24"/>
        </w:rPr>
      </w:pPr>
    </w:p>
    <w:p w:rsidR="003C7244" w:rsidRDefault="0046491C" w:rsidP="007879C6">
      <w:pPr>
        <w:spacing w:line="360" w:lineRule="auto"/>
        <w:jc w:val="both"/>
        <w:rPr>
          <w:rFonts w:ascii="Palatino Linotype" w:hAnsi="Palatino Linotype" w:cs="Arial"/>
          <w:sz w:val="24"/>
          <w:szCs w:val="24"/>
        </w:rPr>
      </w:pPr>
      <w:r w:rsidRPr="00072966">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r w:rsidR="00DA52E0">
        <w:rPr>
          <w:rFonts w:ascii="Palatino Linotype" w:hAnsi="Palatino Linotype" w:cs="Arial"/>
          <w:sz w:val="24"/>
          <w:szCs w:val="24"/>
        </w:rPr>
        <w:t xml:space="preserve">; además </w:t>
      </w:r>
      <w:r w:rsidRPr="00072966">
        <w:rPr>
          <w:rFonts w:ascii="Palatino Linotype" w:hAnsi="Palatino Linotype" w:cs="Arial"/>
          <w:sz w:val="24"/>
          <w:szCs w:val="24"/>
        </w:rPr>
        <w:t>tienen el deber que tienen dentro del margen de sus atribuciones, de prevenir violaciones a los derechos fundamentales.</w:t>
      </w:r>
    </w:p>
    <w:p w:rsidR="003C7244" w:rsidRDefault="003C7244" w:rsidP="003C7244">
      <w:pPr>
        <w:spacing w:after="0" w:line="276" w:lineRule="auto"/>
        <w:jc w:val="both"/>
        <w:rPr>
          <w:rFonts w:ascii="Palatino Linotype" w:hAnsi="Palatino Linotype" w:cs="Arial"/>
          <w:sz w:val="24"/>
          <w:szCs w:val="24"/>
        </w:rPr>
      </w:pPr>
    </w:p>
    <w:p w:rsidR="002C0734" w:rsidRDefault="002C0734"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Default="00DC63EE" w:rsidP="003C7244">
      <w:pPr>
        <w:spacing w:after="0" w:line="276" w:lineRule="auto"/>
        <w:jc w:val="both"/>
        <w:rPr>
          <w:rFonts w:ascii="Palatino Linotype" w:hAnsi="Palatino Linotype" w:cs="Arial"/>
          <w:sz w:val="24"/>
          <w:szCs w:val="24"/>
        </w:rPr>
      </w:pPr>
    </w:p>
    <w:p w:rsidR="00DC63EE" w:rsidRPr="00072966" w:rsidRDefault="00DC63EE" w:rsidP="003C7244">
      <w:pPr>
        <w:spacing w:after="0" w:line="276" w:lineRule="auto"/>
        <w:jc w:val="both"/>
        <w:rPr>
          <w:rFonts w:ascii="Palatino Linotype" w:hAnsi="Palatino Linotype" w:cs="Arial"/>
          <w:sz w:val="24"/>
          <w:szCs w:val="24"/>
        </w:rPr>
      </w:pPr>
    </w:p>
    <w:p w:rsidR="0046491C" w:rsidRPr="003C7244" w:rsidRDefault="0046491C" w:rsidP="00E34F08">
      <w:pPr>
        <w:spacing w:after="0" w:line="360" w:lineRule="auto"/>
        <w:jc w:val="both"/>
        <w:rPr>
          <w:rFonts w:ascii="Palatino Linotype" w:hAnsi="Palatino Linotype" w:cs="Arial"/>
          <w:sz w:val="28"/>
          <w:szCs w:val="24"/>
        </w:rPr>
      </w:pPr>
      <w:r w:rsidRPr="003C7244">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C40065" w:rsidRDefault="0046491C">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6153518" w:history="1">
            <w:r w:rsidR="00C40065" w:rsidRPr="00094BD9">
              <w:rPr>
                <w:rStyle w:val="Hipervnculo"/>
                <w:rFonts w:ascii="Palatino Linotype" w:hAnsi="Palatino Linotype"/>
                <w:b/>
                <w:noProof/>
              </w:rPr>
              <w:t>I.</w:t>
            </w:r>
            <w:r w:rsidR="00C40065">
              <w:rPr>
                <w:rFonts w:eastAsiaTheme="minorEastAsia"/>
                <w:noProof/>
                <w:lang w:eastAsia="es-MX"/>
              </w:rPr>
              <w:tab/>
            </w:r>
            <w:r w:rsidR="00C40065" w:rsidRPr="00094BD9">
              <w:rPr>
                <w:rStyle w:val="Hipervnculo"/>
                <w:rFonts w:ascii="Palatino Linotype" w:hAnsi="Palatino Linotype"/>
                <w:b/>
                <w:noProof/>
              </w:rPr>
              <w:t>Consideraciones Generales.</w:t>
            </w:r>
            <w:r w:rsidR="00C40065">
              <w:rPr>
                <w:noProof/>
                <w:webHidden/>
              </w:rPr>
              <w:tab/>
            </w:r>
            <w:r w:rsidR="00C40065">
              <w:rPr>
                <w:noProof/>
                <w:webHidden/>
              </w:rPr>
              <w:fldChar w:fldCharType="begin"/>
            </w:r>
            <w:r w:rsidR="00C40065">
              <w:rPr>
                <w:noProof/>
                <w:webHidden/>
              </w:rPr>
              <w:instrText xml:space="preserve"> PAGEREF _Toc526153518 \h </w:instrText>
            </w:r>
            <w:r w:rsidR="00C40065">
              <w:rPr>
                <w:noProof/>
                <w:webHidden/>
              </w:rPr>
            </w:r>
            <w:r w:rsidR="00C40065">
              <w:rPr>
                <w:noProof/>
                <w:webHidden/>
              </w:rPr>
              <w:fldChar w:fldCharType="separate"/>
            </w:r>
            <w:r w:rsidR="00C40065">
              <w:rPr>
                <w:noProof/>
                <w:webHidden/>
              </w:rPr>
              <w:t>3</w:t>
            </w:r>
            <w:r w:rsidR="00C40065">
              <w:rPr>
                <w:noProof/>
                <w:webHidden/>
              </w:rPr>
              <w:fldChar w:fldCharType="end"/>
            </w:r>
          </w:hyperlink>
        </w:p>
        <w:p w:rsidR="00C40065" w:rsidRDefault="002369B1">
          <w:pPr>
            <w:pStyle w:val="TDC1"/>
            <w:rPr>
              <w:rFonts w:eastAsiaTheme="minorEastAsia"/>
              <w:noProof/>
              <w:lang w:eastAsia="es-MX"/>
            </w:rPr>
          </w:pPr>
          <w:hyperlink w:anchor="_Toc526153519" w:history="1">
            <w:r w:rsidR="00C40065" w:rsidRPr="00094BD9">
              <w:rPr>
                <w:rStyle w:val="Hipervnculo"/>
                <w:rFonts w:ascii="Palatino Linotype" w:hAnsi="Palatino Linotype"/>
                <w:b/>
                <w:noProof/>
              </w:rPr>
              <w:t>II.</w:t>
            </w:r>
            <w:r w:rsidR="00C40065">
              <w:rPr>
                <w:rFonts w:eastAsiaTheme="minorEastAsia"/>
                <w:noProof/>
                <w:lang w:eastAsia="es-MX"/>
              </w:rPr>
              <w:tab/>
            </w:r>
            <w:r w:rsidR="00C40065" w:rsidRPr="00094BD9">
              <w:rPr>
                <w:rStyle w:val="Hipervnculo"/>
                <w:rFonts w:ascii="Palatino Linotype" w:hAnsi="Palatino Linotype"/>
                <w:b/>
                <w:noProof/>
              </w:rPr>
              <w:t>De los requerimientos planteados en el recurso de revisión.</w:t>
            </w:r>
            <w:r w:rsidR="00C40065">
              <w:rPr>
                <w:noProof/>
                <w:webHidden/>
              </w:rPr>
              <w:tab/>
            </w:r>
            <w:r w:rsidR="00C40065">
              <w:rPr>
                <w:noProof/>
                <w:webHidden/>
              </w:rPr>
              <w:fldChar w:fldCharType="begin"/>
            </w:r>
            <w:r w:rsidR="00C40065">
              <w:rPr>
                <w:noProof/>
                <w:webHidden/>
              </w:rPr>
              <w:instrText xml:space="preserve"> PAGEREF _Toc526153519 \h </w:instrText>
            </w:r>
            <w:r w:rsidR="00C40065">
              <w:rPr>
                <w:noProof/>
                <w:webHidden/>
              </w:rPr>
            </w:r>
            <w:r w:rsidR="00C40065">
              <w:rPr>
                <w:noProof/>
                <w:webHidden/>
              </w:rPr>
              <w:fldChar w:fldCharType="separate"/>
            </w:r>
            <w:r w:rsidR="00C40065">
              <w:rPr>
                <w:noProof/>
                <w:webHidden/>
              </w:rPr>
              <w:t>4</w:t>
            </w:r>
            <w:r w:rsidR="00C40065">
              <w:rPr>
                <w:noProof/>
                <w:webHidden/>
              </w:rPr>
              <w:fldChar w:fldCharType="end"/>
            </w:r>
          </w:hyperlink>
        </w:p>
        <w:p w:rsidR="00C40065" w:rsidRDefault="002369B1">
          <w:pPr>
            <w:pStyle w:val="TDC1"/>
            <w:rPr>
              <w:rFonts w:eastAsiaTheme="minorEastAsia"/>
              <w:noProof/>
              <w:lang w:eastAsia="es-MX"/>
            </w:rPr>
          </w:pPr>
          <w:hyperlink w:anchor="_Toc526153520" w:history="1">
            <w:r w:rsidR="00C40065" w:rsidRPr="00094BD9">
              <w:rPr>
                <w:rStyle w:val="Hipervnculo"/>
                <w:rFonts w:ascii="Palatino Linotype" w:hAnsi="Palatino Linotype"/>
                <w:b/>
                <w:noProof/>
              </w:rPr>
              <w:t>III.</w:t>
            </w:r>
            <w:r w:rsidR="00C40065">
              <w:rPr>
                <w:rFonts w:eastAsiaTheme="minorEastAsia"/>
                <w:noProof/>
                <w:lang w:eastAsia="es-MX"/>
              </w:rPr>
              <w:tab/>
            </w:r>
            <w:r w:rsidR="00C40065" w:rsidRPr="00094BD9">
              <w:rPr>
                <w:rStyle w:val="Hipervnculo"/>
                <w:rFonts w:ascii="Palatino Linotype" w:hAnsi="Palatino Linotype"/>
                <w:b/>
                <w:noProof/>
              </w:rPr>
              <w:t>Los actos consentidos no deben invocarse en el derecho fundamental de acceder a la información pública gubernamental.</w:t>
            </w:r>
            <w:r w:rsidR="00C40065">
              <w:rPr>
                <w:noProof/>
                <w:webHidden/>
              </w:rPr>
              <w:tab/>
            </w:r>
            <w:r w:rsidR="00C40065">
              <w:rPr>
                <w:noProof/>
                <w:webHidden/>
              </w:rPr>
              <w:fldChar w:fldCharType="begin"/>
            </w:r>
            <w:r w:rsidR="00C40065">
              <w:rPr>
                <w:noProof/>
                <w:webHidden/>
              </w:rPr>
              <w:instrText xml:space="preserve"> PAGEREF _Toc526153520 \h </w:instrText>
            </w:r>
            <w:r w:rsidR="00C40065">
              <w:rPr>
                <w:noProof/>
                <w:webHidden/>
              </w:rPr>
            </w:r>
            <w:r w:rsidR="00C40065">
              <w:rPr>
                <w:noProof/>
                <w:webHidden/>
              </w:rPr>
              <w:fldChar w:fldCharType="separate"/>
            </w:r>
            <w:r w:rsidR="00C40065">
              <w:rPr>
                <w:noProof/>
                <w:webHidden/>
              </w:rPr>
              <w:t>8</w:t>
            </w:r>
            <w:r w:rsidR="00C40065">
              <w:rPr>
                <w:noProof/>
                <w:webHidden/>
              </w:rPr>
              <w:fldChar w:fldCharType="end"/>
            </w:r>
          </w:hyperlink>
        </w:p>
        <w:p w:rsidR="00072966" w:rsidRPr="003C7244" w:rsidRDefault="0046491C" w:rsidP="003C7244">
          <w:pPr>
            <w:spacing w:line="360" w:lineRule="auto"/>
            <w:rPr>
              <w:rFonts w:ascii="Palatino Linotype" w:hAnsi="Palatino Linotype"/>
            </w:rPr>
          </w:pPr>
          <w:r w:rsidRPr="00072966">
            <w:rPr>
              <w:rFonts w:ascii="Palatino Linotype" w:hAnsi="Palatino Linotype"/>
              <w:b/>
              <w:bCs/>
              <w:lang w:val="es-ES"/>
            </w:rPr>
            <w:fldChar w:fldCharType="end"/>
          </w:r>
        </w:p>
      </w:sdtContent>
    </w:sdt>
    <w:p w:rsidR="003C7244" w:rsidRDefault="003C7244" w:rsidP="003C7244"/>
    <w:p w:rsidR="007879C6" w:rsidRDefault="007879C6" w:rsidP="003C7244"/>
    <w:p w:rsidR="007879C6" w:rsidRDefault="007879C6" w:rsidP="003C7244"/>
    <w:p w:rsidR="007879C6" w:rsidRDefault="007879C6" w:rsidP="003C7244"/>
    <w:p w:rsidR="007879C6" w:rsidRDefault="007879C6" w:rsidP="003C7244"/>
    <w:p w:rsidR="003C7244" w:rsidRDefault="003C7244" w:rsidP="003C7244"/>
    <w:p w:rsidR="003C7244" w:rsidRDefault="003C7244" w:rsidP="003C7244"/>
    <w:p w:rsidR="003C7244" w:rsidRDefault="003C7244" w:rsidP="003C7244"/>
    <w:p w:rsidR="003C7244" w:rsidRDefault="003C7244" w:rsidP="003C7244"/>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6153518"/>
      <w:r w:rsidRPr="00072966">
        <w:rPr>
          <w:rFonts w:ascii="Palatino Linotype" w:hAnsi="Palatino Linotype"/>
          <w:b/>
          <w:color w:val="auto"/>
          <w:sz w:val="24"/>
          <w:szCs w:val="24"/>
        </w:rPr>
        <w:lastRenderedPageBreak/>
        <w:t>Consideraciones Generales.</w:t>
      </w:r>
      <w:bookmarkEnd w:id="0"/>
    </w:p>
    <w:p w:rsidR="0046491C" w:rsidRPr="00072966" w:rsidRDefault="0046491C" w:rsidP="00DF7B12">
      <w:pPr>
        <w:pStyle w:val="Prrafodelista"/>
        <w:spacing w:after="0" w:line="240" w:lineRule="auto"/>
        <w:ind w:left="1080"/>
        <w:jc w:val="both"/>
        <w:rPr>
          <w:rFonts w:ascii="Palatino Linotype" w:hAnsi="Palatino Linotype" w:cs="Arial"/>
          <w:b/>
          <w:sz w:val="24"/>
          <w:szCs w:val="24"/>
        </w:rPr>
      </w:pPr>
    </w:p>
    <w:p w:rsidR="0046491C" w:rsidRPr="00072966" w:rsidRDefault="0046491C" w:rsidP="00BE66A6">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 xml:space="preserve">co y Municipios, en su </w:t>
      </w:r>
      <w:r w:rsidR="00BE66A6">
        <w:rPr>
          <w:rFonts w:ascii="Palatino Linotype" w:hAnsi="Palatino Linotype" w:cs="Arial"/>
          <w:sz w:val="24"/>
          <w:szCs w:val="24"/>
        </w:rPr>
        <w:t>Cuadragésima Sexta</w:t>
      </w:r>
      <w:r w:rsidR="00BA3743" w:rsidRPr="00072966">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BE66A6">
        <w:rPr>
          <w:rFonts w:ascii="Palatino Linotype" w:hAnsi="Palatino Linotype" w:cs="Arial"/>
          <w:sz w:val="24"/>
          <w:szCs w:val="24"/>
        </w:rPr>
        <w:t xml:space="preserve">doce (12) de diciembre </w:t>
      </w:r>
      <w:r w:rsidR="00F86F9B" w:rsidRPr="005A15E9">
        <w:rPr>
          <w:rFonts w:ascii="Palatino Linotype" w:hAnsi="Palatino Linotype" w:cs="Arial"/>
          <w:sz w:val="24"/>
          <w:szCs w:val="24"/>
        </w:rPr>
        <w:t xml:space="preserve"> </w:t>
      </w:r>
      <w:r w:rsidR="0076241F" w:rsidRPr="005A15E9">
        <w:rPr>
          <w:rFonts w:ascii="Palatino Linotype" w:hAnsi="Palatino Linotype" w:cs="Arial"/>
          <w:sz w:val="24"/>
          <w:szCs w:val="24"/>
        </w:rPr>
        <w:t>de dos mil dieciocho</w:t>
      </w:r>
      <w:r w:rsidRPr="005A15E9">
        <w:rPr>
          <w:rFonts w:ascii="Palatino Linotype" w:hAnsi="Palatino Linotype" w:cs="Arial"/>
          <w:sz w:val="24"/>
          <w:szCs w:val="24"/>
        </w:rPr>
        <w:t>, en el recurso</w:t>
      </w:r>
      <w:r w:rsidR="002C1F75" w:rsidRPr="005A15E9">
        <w:rPr>
          <w:rFonts w:ascii="Palatino Linotype" w:hAnsi="Palatino Linotype" w:cs="Arial"/>
          <w:sz w:val="24"/>
          <w:szCs w:val="24"/>
        </w:rPr>
        <w:t xml:space="preserve"> de revisión promovido</w:t>
      </w:r>
      <w:r w:rsidRPr="005A15E9">
        <w:rPr>
          <w:rFonts w:ascii="Palatino Linotype" w:hAnsi="Palatino Linotype" w:cs="Arial"/>
          <w:sz w:val="24"/>
          <w:szCs w:val="24"/>
        </w:rPr>
        <w:t xml:space="preserve"> por</w:t>
      </w:r>
      <w:r w:rsidRPr="005A15E9">
        <w:rPr>
          <w:rFonts w:ascii="Palatino Linotype" w:hAnsi="Palatino Linotype" w:cs="Arial"/>
          <w:b/>
          <w:sz w:val="24"/>
          <w:szCs w:val="24"/>
        </w:rPr>
        <w:t xml:space="preserve"> </w:t>
      </w:r>
      <w:r w:rsidR="0084329E" w:rsidRPr="0084329E">
        <w:rPr>
          <w:rFonts w:ascii="Palatino Linotype" w:hAnsi="Palatino Linotype" w:cs="Arial"/>
          <w:b/>
          <w:sz w:val="24"/>
          <w:szCs w:val="24"/>
          <w:highlight w:val="black"/>
        </w:rPr>
        <w:t>------------------------</w:t>
      </w:r>
      <w:r w:rsidRPr="005A15E9">
        <w:rPr>
          <w:rFonts w:ascii="Palatino Linotype" w:hAnsi="Palatino Linotype" w:cs="Arial"/>
          <w:sz w:val="24"/>
          <w:szCs w:val="24"/>
        </w:rPr>
        <w:t>,</w:t>
      </w:r>
      <w:r w:rsidRPr="005A15E9">
        <w:rPr>
          <w:rFonts w:ascii="Palatino Linotype" w:hAnsi="Palatino Linotype" w:cs="Arial"/>
          <w:b/>
          <w:sz w:val="24"/>
          <w:szCs w:val="24"/>
        </w:rPr>
        <w:t xml:space="preserve"> </w:t>
      </w:r>
      <w:r w:rsidRPr="005A15E9">
        <w:rPr>
          <w:rFonts w:ascii="Palatino Linotype" w:hAnsi="Palatino Linotype" w:cs="Arial"/>
          <w:sz w:val="24"/>
          <w:szCs w:val="24"/>
        </w:rPr>
        <w:t xml:space="preserve">en contra de la respuesta del </w:t>
      </w:r>
      <w:r w:rsidR="00BE66A6" w:rsidRPr="00BE66A6">
        <w:rPr>
          <w:rFonts w:ascii="Palatino Linotype" w:eastAsia="Calibri" w:hAnsi="Palatino Linotype" w:cs="Times New Roman"/>
          <w:b/>
          <w:sz w:val="24"/>
          <w:szCs w:val="24"/>
          <w:lang w:eastAsia="es-ES"/>
        </w:rPr>
        <w:t>Ayuntamie</w:t>
      </w:r>
      <w:bookmarkStart w:id="1" w:name="_GoBack"/>
      <w:bookmarkEnd w:id="1"/>
      <w:r w:rsidR="00BE66A6" w:rsidRPr="00BE66A6">
        <w:rPr>
          <w:rFonts w:ascii="Palatino Linotype" w:eastAsia="Calibri" w:hAnsi="Palatino Linotype" w:cs="Times New Roman"/>
          <w:b/>
          <w:sz w:val="24"/>
          <w:szCs w:val="24"/>
          <w:lang w:eastAsia="es-ES"/>
        </w:rPr>
        <w:t xml:space="preserve">nto de Naucalpan de Juárez </w:t>
      </w:r>
      <w:r w:rsidRPr="005A15E9">
        <w:rPr>
          <w:rFonts w:ascii="Palatino Linotype" w:hAnsi="Palatino Linotype" w:cs="Arial"/>
          <w:sz w:val="24"/>
          <w:szCs w:val="24"/>
        </w:rPr>
        <w:t>procedimiento a</w:t>
      </w:r>
      <w:r w:rsidR="0000525F" w:rsidRPr="005A15E9">
        <w:rPr>
          <w:rFonts w:ascii="Palatino Linotype" w:hAnsi="Palatino Linotype" w:cs="Arial"/>
          <w:sz w:val="24"/>
          <w:szCs w:val="24"/>
        </w:rPr>
        <w:t>l</w:t>
      </w:r>
      <w:r w:rsidR="00902248" w:rsidRPr="005A15E9">
        <w:rPr>
          <w:rFonts w:ascii="Palatino Linotype" w:hAnsi="Palatino Linotype" w:cs="Arial"/>
          <w:sz w:val="24"/>
          <w:szCs w:val="24"/>
        </w:rPr>
        <w:t xml:space="preserve"> que se le asignó </w:t>
      </w:r>
      <w:r w:rsidR="0000525F" w:rsidRPr="005A15E9">
        <w:rPr>
          <w:rFonts w:ascii="Palatino Linotype" w:hAnsi="Palatino Linotype" w:cs="Arial"/>
          <w:sz w:val="24"/>
          <w:szCs w:val="24"/>
        </w:rPr>
        <w:t>el</w:t>
      </w:r>
      <w:r w:rsidRPr="005A15E9">
        <w:rPr>
          <w:rFonts w:ascii="Palatino Linotype" w:hAnsi="Palatino Linotype" w:cs="Arial"/>
          <w:sz w:val="24"/>
          <w:szCs w:val="24"/>
        </w:rPr>
        <w:t xml:space="preserve"> número de expediente </w:t>
      </w:r>
      <w:r w:rsidR="0076241F" w:rsidRPr="005A15E9">
        <w:rPr>
          <w:rFonts w:ascii="Palatino Linotype" w:eastAsia="Times New Roman" w:hAnsi="Palatino Linotype" w:cs="Arial"/>
          <w:b/>
          <w:bCs/>
          <w:sz w:val="24"/>
          <w:szCs w:val="24"/>
          <w:lang w:eastAsia="es-ES"/>
        </w:rPr>
        <w:t>0</w:t>
      </w:r>
      <w:r w:rsidR="00BE66A6">
        <w:rPr>
          <w:rFonts w:ascii="Palatino Linotype" w:eastAsia="Times New Roman" w:hAnsi="Palatino Linotype" w:cs="Arial"/>
          <w:b/>
          <w:bCs/>
          <w:sz w:val="24"/>
          <w:szCs w:val="24"/>
          <w:lang w:eastAsia="es-ES"/>
        </w:rPr>
        <w:t>4255</w:t>
      </w:r>
      <w:r w:rsidR="001754A4">
        <w:rPr>
          <w:rFonts w:ascii="Palatino Linotype" w:eastAsia="Times New Roman" w:hAnsi="Palatino Linotype" w:cs="Arial"/>
          <w:b/>
          <w:bCs/>
          <w:sz w:val="24"/>
          <w:szCs w:val="24"/>
          <w:lang w:eastAsia="es-ES"/>
        </w:rPr>
        <w:t>/</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0525F" w:rsidRPr="00072966" w:rsidRDefault="0000525F" w:rsidP="00DF7B12">
      <w:pPr>
        <w:pStyle w:val="Prrafodelista"/>
        <w:spacing w:after="0" w:line="240" w:lineRule="auto"/>
        <w:ind w:left="426"/>
        <w:jc w:val="both"/>
        <w:rPr>
          <w:rFonts w:ascii="Palatino Linotype" w:hAnsi="Palatino Linotype" w:cs="Arial"/>
          <w:sz w:val="24"/>
          <w:szCs w:val="24"/>
        </w:rPr>
      </w:pPr>
    </w:p>
    <w:p w:rsidR="001754A4" w:rsidRPr="00BE66A6" w:rsidRDefault="00C7250F" w:rsidP="00BE66A6">
      <w:pPr>
        <w:pStyle w:val="Prrafodelista"/>
        <w:numPr>
          <w:ilvl w:val="0"/>
          <w:numId w:val="1"/>
        </w:numPr>
        <w:spacing w:before="240" w:after="0" w:line="360" w:lineRule="auto"/>
        <w:ind w:right="49"/>
        <w:jc w:val="both"/>
        <w:rPr>
          <w:rFonts w:ascii="Palatino Linotype" w:hAnsi="Palatino Linotype" w:cs="Arial"/>
          <w:i/>
          <w:sz w:val="24"/>
          <w:szCs w:val="24"/>
        </w:rPr>
      </w:pPr>
      <w:r w:rsidRPr="00DD7C56">
        <w:rPr>
          <w:rFonts w:ascii="Palatino Linotype" w:hAnsi="Palatino Linotype" w:cs="Arial"/>
          <w:sz w:val="24"/>
          <w:szCs w:val="24"/>
        </w:rPr>
        <w:t>El sentido de la Resolución determin</w:t>
      </w:r>
      <w:r w:rsidR="00BF43E0">
        <w:rPr>
          <w:rFonts w:ascii="Palatino Linotype" w:hAnsi="Palatino Linotype" w:cs="Arial"/>
          <w:sz w:val="24"/>
          <w:szCs w:val="24"/>
        </w:rPr>
        <w:t>ó</w:t>
      </w:r>
      <w:r w:rsidR="00BE66A6">
        <w:rPr>
          <w:rFonts w:ascii="Palatino Linotype" w:hAnsi="Palatino Linotype" w:cs="Arial"/>
          <w:sz w:val="24"/>
          <w:szCs w:val="24"/>
        </w:rPr>
        <w:t xml:space="preserve"> </w:t>
      </w:r>
      <w:r w:rsidR="00BE66A6" w:rsidRPr="00BE66A6">
        <w:rPr>
          <w:rFonts w:ascii="Palatino Linotype" w:hAnsi="Palatino Linotype" w:cs="Arial"/>
          <w:b/>
          <w:sz w:val="24"/>
          <w:szCs w:val="24"/>
        </w:rPr>
        <w:t>SOBRESEE</w:t>
      </w:r>
      <w:r w:rsidR="00BE66A6">
        <w:rPr>
          <w:rFonts w:ascii="Palatino Linotype" w:hAnsi="Palatino Linotype" w:cs="Arial"/>
          <w:b/>
          <w:sz w:val="24"/>
          <w:szCs w:val="24"/>
        </w:rPr>
        <w:t>R</w:t>
      </w:r>
      <w:r w:rsidR="00BE66A6" w:rsidRPr="00BE66A6">
        <w:rPr>
          <w:rFonts w:ascii="Palatino Linotype" w:hAnsi="Palatino Linotype" w:cs="Arial"/>
          <w:sz w:val="24"/>
          <w:szCs w:val="24"/>
        </w:rPr>
        <w:t xml:space="preserve"> el recurso de revisión 04255/INFOEM/IP/RR/2018, porque el sujeto obligado al modificar su respuesta, el recurso</w:t>
      </w:r>
      <w:r w:rsidR="00BE66A6">
        <w:rPr>
          <w:rFonts w:ascii="Palatino Linotype" w:hAnsi="Palatino Linotype" w:cs="Arial"/>
          <w:sz w:val="24"/>
          <w:szCs w:val="24"/>
        </w:rPr>
        <w:t xml:space="preserve"> de revisión quedó sin materia. </w:t>
      </w:r>
    </w:p>
    <w:p w:rsidR="00BE66A6" w:rsidRPr="00D314F6" w:rsidRDefault="00BE66A6" w:rsidP="00C56561">
      <w:pPr>
        <w:pStyle w:val="Prrafodelista"/>
        <w:spacing w:before="240" w:after="0" w:line="240" w:lineRule="auto"/>
        <w:ind w:left="360" w:right="49"/>
        <w:jc w:val="both"/>
        <w:rPr>
          <w:rFonts w:ascii="Palatino Linotype" w:hAnsi="Palatino Linotype" w:cs="Arial"/>
          <w:i/>
          <w:sz w:val="24"/>
          <w:szCs w:val="24"/>
        </w:rPr>
      </w:pPr>
    </w:p>
    <w:p w:rsidR="0046491C" w:rsidRDefault="000B7C6E" w:rsidP="007A378A">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S</w:t>
      </w:r>
      <w:r w:rsidR="00C7250F" w:rsidRPr="00072966">
        <w:rPr>
          <w:rFonts w:ascii="Palatino Linotype" w:hAnsi="Palatino Linotype" w:cs="Arial"/>
          <w:sz w:val="24"/>
          <w:szCs w:val="24"/>
        </w:rPr>
        <w:t>in embargo, m</w:t>
      </w:r>
      <w:r w:rsidR="0046491C" w:rsidRPr="00072966">
        <w:rPr>
          <w:rFonts w:ascii="Palatino Linotype" w:hAnsi="Palatino Linotype" w:cs="Arial"/>
          <w:sz w:val="24"/>
          <w:szCs w:val="24"/>
        </w:rPr>
        <w:t xml:space="preserve">i </w:t>
      </w:r>
      <w:r w:rsidR="00D33AF9" w:rsidRPr="00072966">
        <w:rPr>
          <w:rFonts w:ascii="Palatino Linotype" w:hAnsi="Palatino Linotype" w:cs="Arial"/>
          <w:sz w:val="24"/>
          <w:szCs w:val="24"/>
        </w:rPr>
        <w:t>voto</w:t>
      </w:r>
      <w:r w:rsidR="0046491C" w:rsidRPr="00072966">
        <w:rPr>
          <w:rFonts w:ascii="Palatino Linotype" w:hAnsi="Palatino Linotype" w:cs="Arial"/>
          <w:sz w:val="24"/>
          <w:szCs w:val="24"/>
        </w:rPr>
        <w:t xml:space="preserve"> particular se deriva del hecho de que se haya invocado la figura de actos consentidos en el presente asunto</w:t>
      </w:r>
      <w:r w:rsidR="00616B05">
        <w:rPr>
          <w:rFonts w:ascii="Palatino Linotype" w:hAnsi="Palatino Linotype" w:cs="Arial"/>
          <w:sz w:val="24"/>
          <w:szCs w:val="24"/>
        </w:rPr>
        <w:t xml:space="preserve"> así como del pronunciamiento simple</w:t>
      </w:r>
      <w:r w:rsidR="0046491C" w:rsidRPr="00072966">
        <w:rPr>
          <w:rFonts w:ascii="Palatino Linotype" w:hAnsi="Palatino Linotype" w:cs="Arial"/>
          <w:sz w:val="24"/>
          <w:szCs w:val="24"/>
        </w:rPr>
        <w:t>, resultando del todo innecesario hacer referencia a dicha figura, lo cual he manifestado en diversas ocasiones señalando que no deben invocarse en el derecho de acceso a la información pública.</w:t>
      </w:r>
    </w:p>
    <w:p w:rsidR="008A3D2D" w:rsidRPr="00072966" w:rsidRDefault="008A3D2D" w:rsidP="00DF7B12">
      <w:pPr>
        <w:pStyle w:val="Prrafodelista"/>
        <w:spacing w:before="240" w:after="0" w:line="240" w:lineRule="auto"/>
        <w:ind w:left="360" w:right="49"/>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2" w:name="_Toc526153519"/>
      <w:r w:rsidRPr="00072966">
        <w:rPr>
          <w:rFonts w:ascii="Palatino Linotype" w:hAnsi="Palatino Linotype"/>
          <w:b/>
          <w:color w:val="auto"/>
          <w:sz w:val="24"/>
          <w:szCs w:val="24"/>
        </w:rPr>
        <w:lastRenderedPageBreak/>
        <w:t>De los requerimientos planteados en el recurso de revisión.</w:t>
      </w:r>
      <w:bookmarkEnd w:id="2"/>
    </w:p>
    <w:p w:rsidR="0046491C" w:rsidRPr="008D57F6" w:rsidRDefault="0046491C" w:rsidP="008D57F6">
      <w:pPr>
        <w:pStyle w:val="Prrafodelista"/>
        <w:spacing w:line="240" w:lineRule="auto"/>
        <w:ind w:left="1080"/>
        <w:jc w:val="both"/>
        <w:rPr>
          <w:rFonts w:ascii="Palatino Linotype" w:hAnsi="Palatino Linotype" w:cs="Arial"/>
          <w:sz w:val="14"/>
          <w:szCs w:val="24"/>
        </w:rPr>
      </w:pPr>
    </w:p>
    <w:p w:rsidR="00DF6665" w:rsidRPr="00DF6665" w:rsidRDefault="00D11CB8" w:rsidP="00AE4797">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072966">
        <w:rPr>
          <w:rFonts w:ascii="Palatino Linotype" w:hAnsi="Palatino Linotype" w:cs="Arial"/>
          <w:sz w:val="24"/>
          <w:szCs w:val="24"/>
        </w:rPr>
        <w:t xml:space="preserve"> particular</w:t>
      </w:r>
      <w:r w:rsidR="00DF6665">
        <w:rPr>
          <w:rFonts w:ascii="Palatino Linotype" w:hAnsi="Palatino Linotype" w:cs="Arial"/>
          <w:sz w:val="24"/>
          <w:szCs w:val="24"/>
        </w:rPr>
        <w:t xml:space="preserve"> solicitó que el Sujeto Obligado le remitiera la siguiente información: </w:t>
      </w:r>
    </w:p>
    <w:p w:rsidR="008A3D2D" w:rsidRDefault="005D79D3" w:rsidP="00FC2009">
      <w:pPr>
        <w:pStyle w:val="Prrafodelista"/>
        <w:autoSpaceDE w:val="0"/>
        <w:autoSpaceDN w:val="0"/>
        <w:adjustRightInd w:val="0"/>
        <w:spacing w:line="360" w:lineRule="auto"/>
        <w:ind w:left="993" w:right="758"/>
        <w:contextualSpacing w:val="0"/>
        <w:jc w:val="both"/>
        <w:rPr>
          <w:rFonts w:ascii="Palatino Linotype" w:hAnsi="Palatino Linotype"/>
          <w:i/>
          <w:color w:val="000000"/>
        </w:rPr>
      </w:pPr>
      <w:r w:rsidRPr="005D79D3">
        <w:rPr>
          <w:rFonts w:ascii="Palatino Linotype" w:hAnsi="Palatino Linotype"/>
          <w:i/>
          <w:color w:val="000000"/>
        </w:rPr>
        <w:t>“</w:t>
      </w:r>
      <w:r w:rsidR="00BE66A6" w:rsidRPr="00BE66A6">
        <w:rPr>
          <w:rFonts w:ascii="Palatino Linotype" w:hAnsi="Palatino Linotype"/>
          <w:i/>
          <w:color w:val="000000"/>
        </w:rPr>
        <w:t>“1.- Organigrama oficial actual de la Administración Pública Municipal, conforme a lo dispuesto por la fracción II del artículo 92 de la Ley de Transparencia y Acceso a la Información Pública del Estado de México y Municipios. 2.- Reglamento orgánico de la Administración Pública Municipal, conforme a lo dispuesto por la fracción I del artículo 92 de la Ley de Transparencia y Acceso a la Información Pública del Estado de México y Municipios. 3.- Directorio de todos los servidores públicos, conforme a lo dispuesto por la fracción VII del artículo 92 de la Ley de Transparencia y Acceso a la Información Pública del Estad</w:t>
      </w:r>
      <w:r w:rsidR="00BE66A6">
        <w:rPr>
          <w:rFonts w:ascii="Palatino Linotype" w:hAnsi="Palatino Linotype"/>
          <w:i/>
          <w:color w:val="000000"/>
        </w:rPr>
        <w:t>o de México y Municipios.</w:t>
      </w:r>
      <w:r w:rsidRPr="005D79D3">
        <w:rPr>
          <w:rFonts w:ascii="Palatino Linotype" w:hAnsi="Palatino Linotype"/>
          <w:i/>
          <w:color w:val="000000"/>
        </w:rPr>
        <w:t>” (Sic)</w:t>
      </w:r>
    </w:p>
    <w:p w:rsidR="00BE66A6" w:rsidRPr="00A10B30" w:rsidRDefault="00AE4797" w:rsidP="00BE66A6">
      <w:pPr>
        <w:pStyle w:val="Prrafodelista"/>
        <w:numPr>
          <w:ilvl w:val="0"/>
          <w:numId w:val="1"/>
        </w:numPr>
        <w:spacing w:before="240" w:line="360" w:lineRule="auto"/>
        <w:jc w:val="both"/>
        <w:rPr>
          <w:rFonts w:ascii="Palatino Linotype" w:eastAsia="Times New Roman" w:hAnsi="Palatino Linotype" w:cs="Times New Roman"/>
          <w:i/>
          <w:sz w:val="18"/>
          <w:szCs w:val="24"/>
          <w:lang w:val="es-ES_tradnl" w:eastAsia="es-ES"/>
        </w:rPr>
      </w:pPr>
      <w:r w:rsidRPr="0042345D">
        <w:rPr>
          <w:rFonts w:ascii="Palatino Linotype" w:hAnsi="Palatino Linotype" w:cs="Arial"/>
          <w:sz w:val="24"/>
          <w:szCs w:val="24"/>
        </w:rPr>
        <w:t xml:space="preserve">El Sujeto Obligado </w:t>
      </w:r>
      <w:r w:rsidR="00C7250F" w:rsidRPr="0042345D">
        <w:rPr>
          <w:rFonts w:ascii="Palatino Linotype" w:hAnsi="Palatino Linotype" w:cs="Arial"/>
          <w:sz w:val="24"/>
          <w:szCs w:val="24"/>
        </w:rPr>
        <w:t>en respuesta</w:t>
      </w:r>
      <w:r w:rsidR="00746812">
        <w:rPr>
          <w:rFonts w:ascii="Palatino Linotype" w:hAnsi="Palatino Linotype" w:cs="Arial"/>
          <w:sz w:val="24"/>
          <w:szCs w:val="24"/>
        </w:rPr>
        <w:t xml:space="preserve"> </w:t>
      </w:r>
      <w:r w:rsidR="00FC2009">
        <w:rPr>
          <w:rFonts w:ascii="Palatino Linotype" w:hAnsi="Palatino Linotype" w:cs="Arial"/>
          <w:sz w:val="24"/>
          <w:szCs w:val="24"/>
        </w:rPr>
        <w:t xml:space="preserve">remitió </w:t>
      </w:r>
      <w:r w:rsidR="00BE66A6">
        <w:rPr>
          <w:rFonts w:ascii="Palatino Linotype" w:hAnsi="Palatino Linotype" w:cs="Arial"/>
          <w:sz w:val="24"/>
          <w:szCs w:val="24"/>
        </w:rPr>
        <w:t xml:space="preserve">un </w:t>
      </w:r>
      <w:r w:rsidR="00FC2009">
        <w:rPr>
          <w:rFonts w:ascii="Palatino Linotype" w:hAnsi="Palatino Linotype" w:cs="Arial"/>
          <w:sz w:val="24"/>
          <w:szCs w:val="24"/>
        </w:rPr>
        <w:t xml:space="preserve"> </w:t>
      </w:r>
      <w:r w:rsidR="00BE66A6" w:rsidRPr="00BE66A6">
        <w:rPr>
          <w:rFonts w:ascii="Palatino Linotype" w:hAnsi="Palatino Linotype" w:cs="Arial"/>
          <w:sz w:val="24"/>
          <w:szCs w:val="24"/>
        </w:rPr>
        <w:t xml:space="preserve">archivo electrónico </w:t>
      </w:r>
      <w:r w:rsidR="00BE66A6">
        <w:rPr>
          <w:rFonts w:ascii="Palatino Linotype" w:hAnsi="Palatino Linotype" w:cs="Arial"/>
          <w:sz w:val="24"/>
          <w:szCs w:val="24"/>
        </w:rPr>
        <w:t xml:space="preserve">denominado </w:t>
      </w:r>
      <w:r w:rsidR="00BE66A6" w:rsidRPr="00BE66A6">
        <w:rPr>
          <w:rFonts w:ascii="Palatino Linotype" w:hAnsi="Palatino Linotype" w:cs="Arial"/>
          <w:sz w:val="24"/>
          <w:szCs w:val="24"/>
        </w:rPr>
        <w:t>“ESTRUCTURA ORGÁNICA (7).pdf”: archivo de (23) veintitrés páginas que contiene los Organigramas de las distintas áreas que integran la Administración Pública Municipal</w:t>
      </w:r>
      <w:r w:rsidR="00A10B30">
        <w:rPr>
          <w:rFonts w:ascii="Palatino Linotype" w:hAnsi="Palatino Linotype" w:cs="Arial"/>
          <w:sz w:val="24"/>
          <w:szCs w:val="24"/>
        </w:rPr>
        <w:t>.</w:t>
      </w:r>
    </w:p>
    <w:p w:rsidR="00A10B30" w:rsidRPr="00BE66A6" w:rsidRDefault="00A10B30" w:rsidP="00A10B30">
      <w:pPr>
        <w:pStyle w:val="Prrafodelista"/>
        <w:spacing w:before="240" w:line="240" w:lineRule="auto"/>
        <w:ind w:left="360"/>
        <w:jc w:val="both"/>
        <w:rPr>
          <w:rFonts w:ascii="Palatino Linotype" w:eastAsia="Times New Roman" w:hAnsi="Palatino Linotype" w:cs="Times New Roman"/>
          <w:i/>
          <w:sz w:val="18"/>
          <w:szCs w:val="24"/>
          <w:lang w:val="es-ES_tradnl" w:eastAsia="es-ES"/>
        </w:rPr>
      </w:pPr>
    </w:p>
    <w:p w:rsidR="00FC2009" w:rsidRPr="00FC2009" w:rsidRDefault="0046491C" w:rsidP="005527D5">
      <w:pPr>
        <w:pStyle w:val="Prrafodelista"/>
        <w:numPr>
          <w:ilvl w:val="0"/>
          <w:numId w:val="1"/>
        </w:numPr>
        <w:spacing w:before="240" w:after="0" w:line="360" w:lineRule="auto"/>
        <w:ind w:right="49"/>
        <w:jc w:val="both"/>
        <w:rPr>
          <w:rFonts w:ascii="Palatino Linotype" w:hAnsi="Palatino Linotype" w:cs="Arial"/>
          <w:i/>
          <w:sz w:val="24"/>
          <w:szCs w:val="24"/>
          <w:lang w:val="es-ES"/>
        </w:rPr>
      </w:pPr>
      <w:r w:rsidRPr="0095525C">
        <w:rPr>
          <w:rFonts w:ascii="Palatino Linotype" w:hAnsi="Palatino Linotype" w:cs="Arial"/>
          <w:sz w:val="24"/>
          <w:szCs w:val="24"/>
        </w:rPr>
        <w:t xml:space="preserve">En ese </w:t>
      </w:r>
      <w:r w:rsidRPr="0095525C">
        <w:rPr>
          <w:rFonts w:ascii="Palatino Linotype" w:eastAsia="Times New Roman" w:hAnsi="Palatino Linotype" w:cs="Times New Roman"/>
          <w:color w:val="000000"/>
          <w:sz w:val="24"/>
          <w:szCs w:val="24"/>
          <w:lang w:val="es-ES" w:eastAsia="es-ES"/>
        </w:rPr>
        <w:t>sentido</w:t>
      </w:r>
      <w:r w:rsidRPr="0095525C">
        <w:rPr>
          <w:rFonts w:ascii="Palatino Linotype" w:hAnsi="Palatino Linotype" w:cs="Arial"/>
          <w:sz w:val="24"/>
          <w:szCs w:val="24"/>
        </w:rPr>
        <w:t xml:space="preserve">, </w:t>
      </w:r>
      <w:r w:rsidR="00FC2009">
        <w:rPr>
          <w:rFonts w:ascii="Palatino Linotype" w:hAnsi="Palatino Linotype" w:cs="Arial"/>
          <w:sz w:val="24"/>
          <w:szCs w:val="24"/>
        </w:rPr>
        <w:t>el</w:t>
      </w:r>
      <w:r w:rsidR="00AE4797" w:rsidRPr="0095525C">
        <w:rPr>
          <w:rFonts w:ascii="Palatino Linotype" w:hAnsi="Palatino Linotype" w:cs="Arial"/>
          <w:sz w:val="24"/>
          <w:szCs w:val="24"/>
        </w:rPr>
        <w:t xml:space="preserve"> particular </w:t>
      </w:r>
      <w:r w:rsidR="00FC03CA">
        <w:rPr>
          <w:rFonts w:ascii="Palatino Linotype" w:hAnsi="Palatino Linotype" w:cs="Arial"/>
          <w:sz w:val="24"/>
          <w:szCs w:val="24"/>
        </w:rPr>
        <w:t xml:space="preserve">en su recurso de revisión </w:t>
      </w:r>
      <w:r w:rsidR="00AE4797" w:rsidRPr="0095525C">
        <w:rPr>
          <w:rFonts w:ascii="Palatino Linotype" w:hAnsi="Palatino Linotype" w:cs="Arial"/>
          <w:sz w:val="24"/>
          <w:szCs w:val="24"/>
        </w:rPr>
        <w:t>se</w:t>
      </w:r>
      <w:r w:rsidR="0095525C" w:rsidRPr="0095525C">
        <w:rPr>
          <w:rFonts w:ascii="Palatino Linotype" w:hAnsi="Palatino Linotype" w:cs="Arial"/>
          <w:sz w:val="24"/>
          <w:szCs w:val="24"/>
        </w:rPr>
        <w:t>ñal</w:t>
      </w:r>
      <w:r w:rsidR="00DC63EE">
        <w:rPr>
          <w:rFonts w:ascii="Palatino Linotype" w:hAnsi="Palatino Linotype" w:cs="Arial"/>
          <w:sz w:val="24"/>
          <w:szCs w:val="24"/>
        </w:rPr>
        <w:t>ó</w:t>
      </w:r>
      <w:r w:rsidR="0095525C" w:rsidRPr="0095525C">
        <w:rPr>
          <w:rFonts w:ascii="Palatino Linotype" w:hAnsi="Palatino Linotype" w:cs="Arial"/>
          <w:sz w:val="24"/>
          <w:szCs w:val="24"/>
        </w:rPr>
        <w:t xml:space="preserve"> </w:t>
      </w:r>
      <w:r w:rsidR="00FC03CA">
        <w:rPr>
          <w:rFonts w:ascii="Palatino Linotype" w:hAnsi="Palatino Linotype" w:cs="Arial"/>
          <w:sz w:val="24"/>
          <w:szCs w:val="24"/>
        </w:rPr>
        <w:t xml:space="preserve">lo siguiente: </w:t>
      </w:r>
    </w:p>
    <w:p w:rsidR="00FC2009" w:rsidRPr="00D04234" w:rsidRDefault="00FC2009" w:rsidP="00FC03CA">
      <w:pPr>
        <w:spacing w:before="240"/>
        <w:ind w:left="709"/>
        <w:jc w:val="both"/>
        <w:rPr>
          <w:rFonts w:ascii="Palatino Linotype" w:hAnsi="Palatino Linotype" w:cs="Arial"/>
          <w:b/>
          <w:sz w:val="24"/>
          <w:szCs w:val="24"/>
        </w:rPr>
      </w:pPr>
      <w:r w:rsidRPr="00D04234">
        <w:rPr>
          <w:rFonts w:ascii="Palatino Linotype" w:hAnsi="Palatino Linotype" w:cs="Arial"/>
          <w:b/>
          <w:sz w:val="24"/>
          <w:szCs w:val="24"/>
        </w:rPr>
        <w:t>Acto Impugnado:</w:t>
      </w:r>
    </w:p>
    <w:p w:rsidR="00FC2009" w:rsidRPr="00D04234" w:rsidRDefault="00A10B30" w:rsidP="00FC03CA">
      <w:pPr>
        <w:spacing w:line="240" w:lineRule="auto"/>
        <w:ind w:left="1134" w:right="850"/>
        <w:jc w:val="both"/>
        <w:rPr>
          <w:rFonts w:ascii="Palatino Linotype" w:hAnsi="Palatino Linotype" w:cs="Arial"/>
          <w:i/>
        </w:rPr>
      </w:pPr>
      <w:r w:rsidRPr="00A10B30">
        <w:rPr>
          <w:rFonts w:ascii="Palatino Linotype" w:hAnsi="Palatino Linotype" w:cs="Arial"/>
          <w:i/>
        </w:rPr>
        <w:t>“La respuesta otorgada por el sujeto obligado a la solicitud de información con número de Folio 00599/NAUCALPA/IP/</w:t>
      </w:r>
      <w:proofErr w:type="gramStart"/>
      <w:r w:rsidRPr="00A10B30">
        <w:rPr>
          <w:rFonts w:ascii="Palatino Linotype" w:hAnsi="Palatino Linotype" w:cs="Arial"/>
          <w:i/>
        </w:rPr>
        <w:t>2018 .”</w:t>
      </w:r>
      <w:proofErr w:type="gramEnd"/>
      <w:r w:rsidRPr="00A10B30">
        <w:rPr>
          <w:rFonts w:ascii="Palatino Linotype" w:hAnsi="Palatino Linotype" w:cs="Arial"/>
          <w:i/>
        </w:rPr>
        <w:t xml:space="preserve"> (</w:t>
      </w:r>
      <w:r w:rsidR="00FC2009" w:rsidRPr="00D04234">
        <w:rPr>
          <w:rFonts w:ascii="Palatino Linotype" w:hAnsi="Palatino Linotype" w:cs="Arial"/>
          <w:i/>
        </w:rPr>
        <w:t>Sic)</w:t>
      </w:r>
    </w:p>
    <w:p w:rsidR="00FC2009" w:rsidRPr="00BE6D77" w:rsidRDefault="00FC2009" w:rsidP="00FC03CA">
      <w:pPr>
        <w:spacing w:before="240"/>
        <w:ind w:left="709"/>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FC2009" w:rsidRPr="004657BE" w:rsidRDefault="00FC2009" w:rsidP="00FC03CA">
      <w:pPr>
        <w:spacing w:line="240" w:lineRule="auto"/>
        <w:ind w:left="1134" w:right="850"/>
        <w:jc w:val="both"/>
        <w:rPr>
          <w:rFonts w:ascii="Palatino Linotype" w:hAnsi="Palatino Linotype" w:cs="Arial"/>
          <w:i/>
        </w:rPr>
      </w:pPr>
      <w:r w:rsidRPr="004657BE">
        <w:rPr>
          <w:rFonts w:ascii="Palatino Linotype" w:hAnsi="Palatino Linotype" w:cs="Arial"/>
          <w:i/>
        </w:rPr>
        <w:t>“</w:t>
      </w:r>
      <w:r w:rsidR="00A10B30" w:rsidRPr="00A10B30">
        <w:rPr>
          <w:rFonts w:ascii="Palatino Linotype" w:hAnsi="Palatino Linotype" w:cs="Arial"/>
          <w:i/>
        </w:rPr>
        <w:t xml:space="preserve">“En la solicitud de información se precisan tres puntos a solventar: organigrama actual, reglamento orgánico y directorio. El sujeto obligado solo proporciona el organigrama. El sujeto obligado omite entregar el reglamento </w:t>
      </w:r>
      <w:r w:rsidR="00A10B30" w:rsidRPr="00A10B30">
        <w:rPr>
          <w:rFonts w:ascii="Palatino Linotype" w:hAnsi="Palatino Linotype" w:cs="Arial"/>
          <w:i/>
        </w:rPr>
        <w:lastRenderedPageBreak/>
        <w:t>orgánico y el directorio. Considerando que la administración pública que actúa como sujeto obligado concluye su gestión antes de que sea resuelto el presente recurso, solicito desde este momento se de vista al órgano de control a efecto de que inicie el procedimiento administrativo de resp</w:t>
      </w:r>
      <w:r w:rsidR="00A10B30">
        <w:rPr>
          <w:rFonts w:ascii="Palatino Linotype" w:hAnsi="Palatino Linotype" w:cs="Arial"/>
          <w:i/>
        </w:rPr>
        <w:t>onsabilidad correspondiente.”</w:t>
      </w:r>
      <w:r w:rsidRPr="004657BE">
        <w:rPr>
          <w:rFonts w:ascii="Palatino Linotype" w:hAnsi="Palatino Linotype" w:cs="Arial"/>
          <w:i/>
        </w:rPr>
        <w:t>(Sic)</w:t>
      </w:r>
    </w:p>
    <w:p w:rsidR="0046491C" w:rsidRPr="00746812" w:rsidRDefault="00B56CFE" w:rsidP="0095525C">
      <w:pPr>
        <w:pStyle w:val="Prrafodelista"/>
        <w:numPr>
          <w:ilvl w:val="0"/>
          <w:numId w:val="1"/>
        </w:numPr>
        <w:spacing w:before="240" w:after="0" w:line="360" w:lineRule="auto"/>
        <w:ind w:right="49"/>
        <w:jc w:val="both"/>
        <w:rPr>
          <w:rFonts w:ascii="Palatino Linotype" w:hAnsi="Palatino Linotype" w:cs="Arial"/>
          <w:i/>
          <w:sz w:val="24"/>
          <w:szCs w:val="24"/>
          <w:lang w:val="es-ES"/>
        </w:rPr>
      </w:pPr>
      <w:r>
        <w:rPr>
          <w:rFonts w:ascii="Palatino Linotype" w:hAnsi="Palatino Linotype" w:cs="Arial"/>
          <w:sz w:val="24"/>
          <w:szCs w:val="24"/>
        </w:rPr>
        <w:t>E</w:t>
      </w:r>
      <w:r w:rsidR="0046491C" w:rsidRPr="00746812">
        <w:rPr>
          <w:rFonts w:ascii="Palatino Linotype" w:hAnsi="Palatino Linotype" w:cs="Arial"/>
          <w:sz w:val="24"/>
          <w:szCs w:val="24"/>
        </w:rPr>
        <w:t xml:space="preserve">s de </w:t>
      </w:r>
      <w:r w:rsidR="0046491C" w:rsidRPr="0095525C">
        <w:rPr>
          <w:rFonts w:ascii="Palatino Linotype" w:eastAsia="Times New Roman" w:hAnsi="Palatino Linotype" w:cs="Times New Roman"/>
          <w:color w:val="000000"/>
          <w:sz w:val="24"/>
          <w:szCs w:val="24"/>
          <w:lang w:val="es-ES" w:eastAsia="es-ES"/>
        </w:rPr>
        <w:t>destacar</w:t>
      </w:r>
      <w:r>
        <w:rPr>
          <w:rFonts w:ascii="Palatino Linotype" w:hAnsi="Palatino Linotype" w:cs="Arial"/>
          <w:sz w:val="24"/>
          <w:szCs w:val="24"/>
        </w:rPr>
        <w:t xml:space="preserve"> </w:t>
      </w:r>
      <w:r w:rsidR="00AE4797" w:rsidRPr="00746812">
        <w:rPr>
          <w:rFonts w:ascii="Palatino Linotype" w:hAnsi="Palatino Linotype" w:cs="Arial"/>
          <w:sz w:val="24"/>
          <w:szCs w:val="24"/>
        </w:rPr>
        <w:t>que</w:t>
      </w:r>
      <w:r>
        <w:rPr>
          <w:rFonts w:ascii="Palatino Linotype" w:hAnsi="Palatino Linotype" w:cs="Arial"/>
          <w:sz w:val="24"/>
          <w:szCs w:val="24"/>
        </w:rPr>
        <w:t xml:space="preserve"> </w:t>
      </w:r>
      <w:r w:rsidR="0046491C" w:rsidRPr="00746812">
        <w:rPr>
          <w:rFonts w:ascii="Palatino Linotype" w:hAnsi="Palatino Linotype" w:cs="Arial"/>
          <w:sz w:val="24"/>
          <w:szCs w:val="24"/>
        </w:rPr>
        <w:t xml:space="preserve">en el estudio y desarrollo de dicha resolución fueron invocados los llamados </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actos consentidos</w:t>
      </w:r>
      <w:r w:rsidR="006D268B" w:rsidRPr="00746812">
        <w:rPr>
          <w:rFonts w:ascii="Palatino Linotype" w:hAnsi="Palatino Linotype" w:cs="Arial"/>
          <w:sz w:val="24"/>
          <w:szCs w:val="24"/>
        </w:rPr>
        <w:t>”</w:t>
      </w:r>
      <w:r w:rsidR="0046491C" w:rsidRPr="00746812">
        <w:rPr>
          <w:rFonts w:ascii="Palatino Linotype" w:hAnsi="Palatino Linotype" w:cs="Arial"/>
          <w:sz w:val="24"/>
          <w:szCs w:val="24"/>
        </w:rPr>
        <w:t>, tal y como se observa en las siguientes líneas de la resolución en comento:</w:t>
      </w:r>
    </w:p>
    <w:p w:rsidR="00A10B30" w:rsidRPr="00A10B30" w:rsidRDefault="0069498B" w:rsidP="00A10B30">
      <w:pPr>
        <w:spacing w:before="240" w:after="240" w:line="360" w:lineRule="auto"/>
        <w:ind w:left="567" w:right="616"/>
        <w:jc w:val="both"/>
        <w:rPr>
          <w:rFonts w:ascii="Palatino Linotype" w:hAnsi="Palatino Linotype" w:cs="Arial"/>
          <w:i/>
        </w:rPr>
      </w:pPr>
      <w:r w:rsidRPr="00072966">
        <w:rPr>
          <w:rFonts w:ascii="Palatino Linotype" w:hAnsi="Palatino Linotype" w:cs="Arial"/>
          <w:i/>
        </w:rPr>
        <w:t>“</w:t>
      </w:r>
      <w:r w:rsidR="00FE5690">
        <w:rPr>
          <w:rFonts w:ascii="Palatino Linotype" w:hAnsi="Palatino Linotype" w:cs="Arial"/>
          <w:i/>
        </w:rPr>
        <w:t>…</w:t>
      </w:r>
      <w:r w:rsidR="00A10B30" w:rsidRPr="00A10B30">
        <w:rPr>
          <w:rFonts w:ascii="Palatino Linotype" w:hAnsi="Palatino Linotype" w:cs="Arial"/>
          <w:i/>
        </w:rPr>
        <w:t>En un primer plano, como se aprecia de las razones y motivos de inconformidad hechos valer por el recurrente, versan en que la respuesta fue incompleta al no habérsele entregado la información peticionada en los numerales 2 y 3 consistentes en el reglamento orgánico y el directorio de los servidores públicos, lo cual implica que se consintió respecto al Organigrama entregado.</w:t>
      </w:r>
    </w:p>
    <w:p w:rsidR="00A10B30" w:rsidRPr="00A10B30" w:rsidRDefault="00A10B30" w:rsidP="00A10B30">
      <w:pPr>
        <w:spacing w:before="240" w:after="240" w:line="360" w:lineRule="auto"/>
        <w:ind w:left="567" w:right="616"/>
        <w:jc w:val="both"/>
        <w:rPr>
          <w:rFonts w:ascii="Palatino Linotype" w:hAnsi="Palatino Linotype" w:cs="Arial"/>
          <w:i/>
        </w:rPr>
      </w:pPr>
      <w:r w:rsidRPr="00A10B30">
        <w:rPr>
          <w:rFonts w:ascii="Palatino Linotype" w:hAnsi="Palatino Linotype" w:cs="Arial"/>
          <w:i/>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A10B30" w:rsidRPr="00A10B30" w:rsidRDefault="00A10B30" w:rsidP="00A10B30">
      <w:pPr>
        <w:spacing w:before="240" w:after="240" w:line="360" w:lineRule="auto"/>
        <w:ind w:left="567" w:right="616"/>
        <w:jc w:val="both"/>
        <w:rPr>
          <w:rFonts w:ascii="Palatino Linotype" w:hAnsi="Palatino Linotype" w:cs="Arial"/>
          <w:i/>
        </w:rPr>
      </w:pPr>
      <w:r w:rsidRPr="00A10B30">
        <w:rPr>
          <w:rFonts w:ascii="Palatino Linotype" w:hAnsi="Palatino Linotype" w:cs="Arial"/>
          <w:i/>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w:t>
      </w:r>
      <w:r w:rsidRPr="00A10B30">
        <w:rPr>
          <w:rFonts w:ascii="Palatino Linotype" w:hAnsi="Palatino Linotype" w:cs="Arial"/>
          <w:i/>
        </w:rPr>
        <w:lastRenderedPageBreak/>
        <w:t>recurrente, deben declararse firmes aquéllos en contra de los cuales no se formuló agravio y dicha declaración de firmeza debe reflejarse en la parte considerativa y en los resolutivos debe confirmarse la sentencia recurrida en la parte correspondiente.”</w:t>
      </w:r>
    </w:p>
    <w:p w:rsidR="00A10B30" w:rsidRPr="00A10B30" w:rsidRDefault="00A10B30" w:rsidP="00A10B30">
      <w:pPr>
        <w:spacing w:before="240" w:after="240" w:line="360" w:lineRule="auto"/>
        <w:ind w:left="567" w:right="616"/>
        <w:jc w:val="both"/>
        <w:rPr>
          <w:rFonts w:ascii="Palatino Linotype" w:hAnsi="Palatino Linotype" w:cs="Arial"/>
          <w:i/>
        </w:rPr>
      </w:pPr>
      <w:r w:rsidRPr="00A10B30">
        <w:rPr>
          <w:rFonts w:ascii="Palatino Linotype" w:hAnsi="Palatino Linotype" w:cs="Arial"/>
          <w:i/>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A10B30" w:rsidRPr="00A10B30" w:rsidRDefault="00A10B30" w:rsidP="00A10B30">
      <w:pPr>
        <w:spacing w:before="240" w:after="240" w:line="360" w:lineRule="auto"/>
        <w:ind w:left="567" w:right="616"/>
        <w:jc w:val="both"/>
        <w:rPr>
          <w:rFonts w:ascii="Palatino Linotype" w:hAnsi="Palatino Linotype" w:cs="Arial"/>
          <w:i/>
        </w:rPr>
      </w:pPr>
      <w:r w:rsidRPr="00A10B30">
        <w:rPr>
          <w:rFonts w:ascii="Palatino Linotype" w:hAnsi="Palatino Linotype" w:cs="Arial"/>
          <w:i/>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10B30" w:rsidRDefault="00A10B30" w:rsidP="00A10B30">
      <w:pPr>
        <w:spacing w:before="240" w:after="240" w:line="360" w:lineRule="auto"/>
        <w:ind w:left="567" w:right="616"/>
        <w:jc w:val="both"/>
        <w:rPr>
          <w:rFonts w:ascii="Palatino Linotype" w:hAnsi="Palatino Linotype" w:cs="Arial"/>
          <w:i/>
        </w:rPr>
      </w:pPr>
      <w:r w:rsidRPr="00A10B30">
        <w:rPr>
          <w:rFonts w:ascii="Palatino Linotype" w:hAnsi="Palatino Linotype" w:cs="Arial"/>
          <w:i/>
        </w:rPr>
        <w:t>Así, el estudio debe limitarse a establecer si el sujeto obligado está en posibilidad de generar, poseer o administrar los documentos en el que conste la información peticionada en los numerales 2 y 3 de la solicitud de información, referentes al reglamento orgánico y el directorio de sus servidores públicos.</w:t>
      </w:r>
    </w:p>
    <w:p w:rsidR="00AD16A9" w:rsidRPr="00A10B30" w:rsidRDefault="00A10B30" w:rsidP="00A10B30">
      <w:pPr>
        <w:spacing w:before="240" w:after="240" w:line="360" w:lineRule="auto"/>
        <w:ind w:left="567" w:right="616"/>
        <w:jc w:val="both"/>
        <w:rPr>
          <w:rFonts w:ascii="Palatino Linotype" w:hAnsi="Palatino Linotype" w:cs="Arial"/>
          <w:i/>
        </w:rPr>
      </w:pPr>
      <w:r>
        <w:rPr>
          <w:rFonts w:ascii="Palatino Linotype" w:hAnsi="Palatino Linotype" w:cs="Arial"/>
          <w:i/>
        </w:rPr>
        <w:t>...</w:t>
      </w:r>
      <w:r w:rsidR="00FE5690" w:rsidRPr="00FE5690">
        <w:rPr>
          <w:rFonts w:ascii="Palatino Linotype" w:hAnsi="Palatino Linotype" w:cs="Arial"/>
          <w:i/>
        </w:rPr>
        <w:t>.”</w:t>
      </w:r>
    </w:p>
    <w:p w:rsidR="0095525C" w:rsidRDefault="0046491C" w:rsidP="00DF7B12">
      <w:pPr>
        <w:pStyle w:val="Prrafodelista"/>
        <w:numPr>
          <w:ilvl w:val="0"/>
          <w:numId w:val="1"/>
        </w:numPr>
        <w:spacing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lastRenderedPageBreak/>
        <w:t xml:space="preserve">Derivado de </w:t>
      </w:r>
      <w:r w:rsidRPr="00546812">
        <w:rPr>
          <w:rFonts w:ascii="Palatino Linotype" w:eastAsia="Times New Roman" w:hAnsi="Palatino Linotype" w:cs="Times New Roman"/>
          <w:color w:val="000000"/>
          <w:sz w:val="24"/>
          <w:szCs w:val="24"/>
          <w:lang w:val="es-ES" w:eastAsia="es-ES"/>
        </w:rPr>
        <w:t>lo</w:t>
      </w:r>
      <w:r w:rsidRPr="00546812">
        <w:rPr>
          <w:rFonts w:ascii="Palatino Linotype" w:hAnsi="Palatino Linotype" w:cs="Arial"/>
          <w:sz w:val="24"/>
          <w:szCs w:val="24"/>
        </w:rPr>
        <w:t xml:space="preserve"> transcrito con anterioridad, considero que la</w:t>
      </w:r>
      <w:r w:rsidR="00260D6C" w:rsidRPr="00546812">
        <w:rPr>
          <w:rFonts w:ascii="Palatino Linotype" w:hAnsi="Palatino Linotype" w:cs="Arial"/>
          <w:sz w:val="24"/>
          <w:szCs w:val="24"/>
        </w:rPr>
        <w:t xml:space="preserve"> incorporación de dicho argumento</w:t>
      </w:r>
      <w:r w:rsidRPr="00546812">
        <w:rPr>
          <w:rFonts w:ascii="Palatino Linotype" w:hAnsi="Palatino Linotype" w:cs="Arial"/>
          <w:sz w:val="24"/>
          <w:szCs w:val="24"/>
        </w:rPr>
        <w:t xml:space="preserve"> en la resolución en comento resulta a todas luces innecesari</w:t>
      </w:r>
      <w:r w:rsidR="00E61AB8" w:rsidRPr="00546812">
        <w:rPr>
          <w:rFonts w:ascii="Palatino Linotype" w:hAnsi="Palatino Linotype" w:cs="Arial"/>
          <w:sz w:val="24"/>
          <w:szCs w:val="24"/>
        </w:rPr>
        <w:t xml:space="preserve">o y además no da </w:t>
      </w:r>
      <w:r w:rsidRPr="00546812">
        <w:rPr>
          <w:rFonts w:ascii="Palatino Linotype" w:hAnsi="Palatino Linotype" w:cs="Arial"/>
          <w:sz w:val="24"/>
          <w:szCs w:val="24"/>
        </w:rPr>
        <w:t xml:space="preserve">lugar a invocarlos en el derecho humano fundamental de acceder a la información pública gubernamental. Por lo que la mayoría consideró que la respuesta quedó firme ante la falta de impugnación respecto al resto de los requerimientos que no fueron manifestados en el recurso de revisión. </w:t>
      </w:r>
    </w:p>
    <w:p w:rsidR="00FE5690" w:rsidRDefault="00FE5690" w:rsidP="00A10B30">
      <w:pPr>
        <w:pStyle w:val="Prrafodelista"/>
        <w:spacing w:after="0" w:line="240" w:lineRule="auto"/>
        <w:ind w:left="360" w:right="49"/>
        <w:jc w:val="both"/>
        <w:rPr>
          <w:rFonts w:ascii="Palatino Linotype" w:hAnsi="Palatino Linotype" w:cs="Arial"/>
          <w:sz w:val="24"/>
          <w:szCs w:val="24"/>
        </w:rPr>
      </w:pPr>
    </w:p>
    <w:p w:rsidR="0046491C" w:rsidRPr="00DF7B12" w:rsidRDefault="0046491C" w:rsidP="00DF7B12">
      <w:pPr>
        <w:pStyle w:val="Ttulo1"/>
        <w:numPr>
          <w:ilvl w:val="0"/>
          <w:numId w:val="12"/>
        </w:numPr>
        <w:spacing w:line="360" w:lineRule="auto"/>
        <w:rPr>
          <w:rFonts w:ascii="Palatino Linotype" w:hAnsi="Palatino Linotype"/>
          <w:b/>
          <w:color w:val="auto"/>
          <w:sz w:val="24"/>
          <w:szCs w:val="24"/>
        </w:rPr>
      </w:pPr>
      <w:bookmarkStart w:id="3" w:name="_Toc526153520"/>
      <w:r w:rsidRPr="00DF7B12">
        <w:rPr>
          <w:rFonts w:ascii="Palatino Linotype" w:hAnsi="Palatino Linotype"/>
          <w:b/>
          <w:color w:val="auto"/>
          <w:sz w:val="24"/>
          <w:szCs w:val="24"/>
        </w:rPr>
        <w:t>Los actos consentidos no deben invocarse en el derecho fundamental de acceder a la información pública gubernamental.</w:t>
      </w:r>
      <w:bookmarkEnd w:id="3"/>
    </w:p>
    <w:p w:rsidR="0046491C" w:rsidRPr="00DF7B12" w:rsidRDefault="0046491C" w:rsidP="00DF7B12">
      <w:pPr>
        <w:pStyle w:val="Prrafodelista"/>
        <w:spacing w:after="0" w:line="240" w:lineRule="auto"/>
        <w:ind w:left="1080"/>
        <w:jc w:val="both"/>
        <w:rPr>
          <w:rFonts w:ascii="Palatino Linotype" w:hAnsi="Palatino Linotype" w:cs="Arial"/>
          <w:b/>
          <w:sz w:val="14"/>
          <w:szCs w:val="24"/>
        </w:rPr>
      </w:pPr>
    </w:p>
    <w:p w:rsidR="009C43B4"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eastAsia="Calibri" w:hAnsi="Palatino Linotype" w:cs="Times New Roman"/>
          <w:sz w:val="24"/>
          <w:szCs w:val="24"/>
          <w:lang w:val="es-ES" w:eastAsia="es-ES"/>
        </w:rPr>
        <w:t>En</w:t>
      </w:r>
      <w:r w:rsidRPr="00546812">
        <w:rPr>
          <w:rFonts w:ascii="Palatino Linotype" w:hAnsi="Palatino Linotype" w:cs="Arial"/>
          <w:sz w:val="24"/>
          <w:szCs w:val="24"/>
        </w:rPr>
        <w:t xml:space="preserve"> la resolución se precisa, un criterio </w:t>
      </w:r>
      <w:r w:rsidR="00260D6C" w:rsidRPr="00546812">
        <w:rPr>
          <w:rFonts w:ascii="Palatino Linotype" w:hAnsi="Palatino Linotype" w:cs="Arial"/>
          <w:sz w:val="24"/>
          <w:szCs w:val="24"/>
        </w:rPr>
        <w:t>denominado</w:t>
      </w:r>
      <w:r w:rsidR="009C43B4">
        <w:rPr>
          <w:rFonts w:ascii="Palatino Linotype" w:hAnsi="Palatino Linotype" w:cs="Arial"/>
          <w:sz w:val="24"/>
          <w:szCs w:val="24"/>
        </w:rPr>
        <w:t xml:space="preserve"> actos consentidos, a</w:t>
      </w:r>
      <w:r w:rsidRPr="00546812">
        <w:rPr>
          <w:rFonts w:ascii="Palatino Linotype" w:hAnsi="Palatino Linotype" w:cs="Arial"/>
          <w:sz w:val="24"/>
          <w:szCs w:val="24"/>
        </w:rPr>
        <w:t xml:space="preserve">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546812">
        <w:rPr>
          <w:rFonts w:ascii="Palatino Linotype" w:hAnsi="Palatino Linotype" w:cs="Arial"/>
          <w:b/>
          <w:sz w:val="24"/>
          <w:szCs w:val="24"/>
        </w:rPr>
        <w:t>acudir a un profesionista del derecho</w:t>
      </w:r>
      <w:r w:rsidRPr="00546812">
        <w:rPr>
          <w:rFonts w:ascii="Palatino Linotype" w:hAnsi="Palatino Linotype" w:cs="Arial"/>
          <w:sz w:val="24"/>
          <w:szCs w:val="24"/>
        </w:rPr>
        <w:t xml:space="preserve"> para que le asista en la elaboración de su promoción; contrario a ello, nuestro sistema pretende asistirle </w:t>
      </w:r>
      <w:r w:rsidR="009C43B4">
        <w:rPr>
          <w:rFonts w:ascii="Palatino Linotype" w:hAnsi="Palatino Linotype" w:cs="Arial"/>
          <w:sz w:val="24"/>
          <w:szCs w:val="24"/>
        </w:rPr>
        <w:t>y facilitarle el procedimiento.</w:t>
      </w:r>
    </w:p>
    <w:p w:rsidR="009C43B4" w:rsidRDefault="009C43B4" w:rsidP="009C43B4">
      <w:pPr>
        <w:pStyle w:val="Prrafodelista"/>
        <w:spacing w:before="240" w:after="0" w:line="240" w:lineRule="auto"/>
        <w:ind w:left="360" w:right="49"/>
        <w:jc w:val="both"/>
        <w:rPr>
          <w:rFonts w:ascii="Palatino Linotype" w:hAnsi="Palatino Linotype" w:cs="Arial"/>
          <w:sz w:val="24"/>
          <w:szCs w:val="24"/>
        </w:rPr>
      </w:pPr>
    </w:p>
    <w:p w:rsidR="00546812" w:rsidRPr="00546812" w:rsidRDefault="009C43B4"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E</w:t>
      </w:r>
      <w:r w:rsidR="0046491C" w:rsidRPr="00546812">
        <w:rPr>
          <w:rFonts w:ascii="Palatino Linotype" w:hAnsi="Palatino Linotype" w:cs="Arial"/>
          <w:sz w:val="24"/>
          <w:szCs w:val="24"/>
        </w:rPr>
        <w:t xml:space="preserve">sa flexibilidad se vería seriamente comprometida si este </w:t>
      </w:r>
      <w:r w:rsidR="00FE5690" w:rsidRPr="00546812">
        <w:rPr>
          <w:rFonts w:ascii="Palatino Linotype" w:hAnsi="Palatino Linotype" w:cs="Arial"/>
          <w:sz w:val="24"/>
          <w:szCs w:val="24"/>
        </w:rPr>
        <w:t xml:space="preserve">Órgano Garante </w:t>
      </w:r>
      <w:r w:rsidR="0046491C" w:rsidRPr="00546812">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46812" w:rsidRPr="00DF7B12" w:rsidRDefault="00546812" w:rsidP="00DF7B12">
      <w:pPr>
        <w:pStyle w:val="Prrafodelista"/>
        <w:spacing w:before="240" w:after="0" w:line="240" w:lineRule="auto"/>
        <w:ind w:left="360" w:right="49"/>
        <w:jc w:val="both"/>
        <w:rPr>
          <w:rFonts w:ascii="Palatino Linotype" w:hAnsi="Palatino Linotype" w:cs="Arial"/>
          <w:sz w:val="16"/>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La figura de la suplencia de la queja, para Héctor </w:t>
      </w:r>
      <w:proofErr w:type="spellStart"/>
      <w:r w:rsidRPr="00546812">
        <w:rPr>
          <w:rFonts w:ascii="Palatino Linotype" w:hAnsi="Palatino Linotype" w:cs="Arial"/>
          <w:sz w:val="24"/>
          <w:szCs w:val="24"/>
        </w:rPr>
        <w:t>Fix</w:t>
      </w:r>
      <w:proofErr w:type="spellEnd"/>
      <w:r w:rsidRPr="00546812">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546812">
        <w:rPr>
          <w:rStyle w:val="Refdenotaalpie"/>
          <w:rFonts w:ascii="Palatino Linotype" w:hAnsi="Palatino Linotype" w:cs="Arial"/>
          <w:sz w:val="24"/>
          <w:szCs w:val="24"/>
        </w:rPr>
        <w:footnoteReference w:id="1"/>
      </w:r>
      <w:r w:rsidRPr="00546812">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546812">
        <w:rPr>
          <w:rStyle w:val="Refdenotaalpie"/>
          <w:rFonts w:ascii="Palatino Linotype" w:hAnsi="Palatino Linotype" w:cs="Arial"/>
          <w:sz w:val="24"/>
          <w:szCs w:val="24"/>
        </w:rPr>
        <w:footnoteReference w:id="2"/>
      </w:r>
      <w:r w:rsidRPr="00546812">
        <w:rPr>
          <w:rFonts w:ascii="Palatino Linotype" w:hAnsi="Palatino Linotype" w:cs="Arial"/>
          <w:sz w:val="24"/>
          <w:szCs w:val="24"/>
        </w:rPr>
        <w:t xml:space="preserve"> </w:t>
      </w:r>
    </w:p>
    <w:p w:rsidR="0097582C" w:rsidRPr="00546812" w:rsidRDefault="0097582C" w:rsidP="00DF7B12">
      <w:pPr>
        <w:pStyle w:val="Prrafodelista"/>
        <w:spacing w:before="240" w:after="0" w:line="240" w:lineRule="auto"/>
        <w:ind w:left="360" w:right="49"/>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Además es necesario precisar que el presente es un procedimiento cuasi jurisdiccional porque no hay partes en conflicto, por lo tanto lo que este Órgano </w:t>
      </w:r>
      <w:r w:rsidRPr="00546812">
        <w:rPr>
          <w:rFonts w:ascii="Palatino Linotype" w:hAnsi="Palatino Linotype" w:cs="Arial"/>
          <w:sz w:val="24"/>
          <w:szCs w:val="24"/>
        </w:rPr>
        <w:lastRenderedPageBreak/>
        <w:t>Garante realice en materia de suplencia de la queja no afecta la igualdad de las partes sino procura el cumplimiento de los deberes de protección del derecho humano a partir del criterio que más le favorezca.</w:t>
      </w:r>
    </w:p>
    <w:p w:rsidR="00546812" w:rsidRPr="00546812" w:rsidRDefault="00546812" w:rsidP="00DF7B12">
      <w:pPr>
        <w:pStyle w:val="Prrafodelista"/>
        <w:spacing w:line="240" w:lineRule="auto"/>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546812">
        <w:rPr>
          <w:rFonts w:ascii="Palatino Linotype" w:hAnsi="Palatino Linotype" w:cs="Arial"/>
          <w:b/>
          <w:sz w:val="24"/>
          <w:szCs w:val="24"/>
        </w:rPr>
        <w:t>garantía de los derechos humanos</w:t>
      </w:r>
      <w:r w:rsidRPr="00546812">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46812" w:rsidRPr="00546812" w:rsidRDefault="00546812" w:rsidP="00DF7B12">
      <w:pPr>
        <w:pStyle w:val="Prrafodelista"/>
        <w:spacing w:line="240" w:lineRule="auto"/>
        <w:rPr>
          <w:rFonts w:ascii="Palatino Linotype" w:hAnsi="Palatino Linotype" w:cs="Arial"/>
          <w:sz w:val="24"/>
          <w:szCs w:val="24"/>
        </w:rPr>
      </w:pPr>
    </w:p>
    <w:p w:rsidR="0046491C"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 este sentido el Dr. Miguel Carbonell ha señalado que:</w:t>
      </w:r>
    </w:p>
    <w:p w:rsidR="0046491C" w:rsidRDefault="0046491C" w:rsidP="00546812">
      <w:pPr>
        <w:pStyle w:val="Prrafodelista"/>
        <w:spacing w:after="0" w:line="360" w:lineRule="auto"/>
        <w:ind w:left="709" w:right="474"/>
        <w:jc w:val="both"/>
        <w:rPr>
          <w:rFonts w:ascii="Palatino Linotype" w:hAnsi="Palatino Linotype" w:cs="Arial"/>
          <w:sz w:val="24"/>
          <w:szCs w:val="24"/>
        </w:rPr>
      </w:pPr>
      <w:r w:rsidRPr="00546812">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546812">
        <w:rPr>
          <w:rFonts w:ascii="Palatino Linotype" w:hAnsi="Palatino Linotype" w:cs="Arial"/>
          <w:b/>
          <w:sz w:val="24"/>
          <w:szCs w:val="24"/>
        </w:rPr>
        <w:t>considerando que algún nivel de gobierno tenga obligaciones reforzadas hacia ciertos derechos.</w:t>
      </w:r>
      <w:r w:rsidRPr="00546812">
        <w:rPr>
          <w:rFonts w:ascii="Palatino Linotype" w:hAnsi="Palatino Linotype" w:cs="Arial"/>
          <w:sz w:val="24"/>
          <w:szCs w:val="24"/>
        </w:rPr>
        <w:t xml:space="preserve"> A partir de tales deberes generales, podemos afirmar que las autoridades de todos los niveles de </w:t>
      </w:r>
      <w:r w:rsidRPr="00546812">
        <w:rPr>
          <w:rFonts w:ascii="Palatino Linotype" w:hAnsi="Palatino Linotype" w:cs="Arial"/>
          <w:sz w:val="24"/>
          <w:szCs w:val="24"/>
        </w:rPr>
        <w:lastRenderedPageBreak/>
        <w:t xml:space="preserve">gobierno también tienen la obligación positiva de </w:t>
      </w:r>
      <w:r w:rsidRPr="00546812">
        <w:rPr>
          <w:rFonts w:ascii="Palatino Linotype" w:hAnsi="Palatino Linotype" w:cs="Arial"/>
          <w:b/>
          <w:sz w:val="24"/>
          <w:szCs w:val="24"/>
        </w:rPr>
        <w:t>tomar todas las medidas que sean pertinentes para tutelar y hacer eficaz un derecho</w:t>
      </w:r>
      <w:r w:rsidRPr="00546812">
        <w:rPr>
          <w:rFonts w:ascii="Palatino Linotype" w:hAnsi="Palatino Linotype" w:cs="Arial"/>
          <w:sz w:val="24"/>
          <w:szCs w:val="24"/>
        </w:rPr>
        <w:t>”.</w:t>
      </w:r>
      <w:r w:rsidRPr="00546812">
        <w:rPr>
          <w:rStyle w:val="Refdenotaalpie"/>
          <w:rFonts w:ascii="Palatino Linotype" w:hAnsi="Palatino Linotype" w:cs="Arial"/>
          <w:sz w:val="24"/>
          <w:szCs w:val="24"/>
        </w:rPr>
        <w:footnoteReference w:id="3"/>
      </w:r>
    </w:p>
    <w:p w:rsidR="00300B98" w:rsidRPr="00546812" w:rsidRDefault="00300B98" w:rsidP="00DF7B12">
      <w:pPr>
        <w:pStyle w:val="Prrafodelista"/>
        <w:spacing w:after="0" w:line="240" w:lineRule="auto"/>
        <w:ind w:left="709" w:right="474"/>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 Por lo que restringir el derecho de acceso a la información pública del particular</w:t>
      </w:r>
      <w:r w:rsidRPr="00546812">
        <w:rPr>
          <w:rFonts w:ascii="Palatino Linotype" w:hAnsi="Palatino Linotype" w:cs="Arial"/>
          <w:b/>
          <w:sz w:val="24"/>
          <w:szCs w:val="24"/>
        </w:rPr>
        <w:t xml:space="preserve"> </w:t>
      </w:r>
      <w:r w:rsidRPr="00546812">
        <w:rPr>
          <w:rFonts w:ascii="Palatino Linotype" w:hAnsi="Palatino Linotype" w:cs="Arial"/>
          <w:sz w:val="24"/>
          <w:szCs w:val="24"/>
        </w:rPr>
        <w:t xml:space="preserve">suponiendo en el peor de los casos, que en efecto, no se hubiera ordenado </w:t>
      </w:r>
      <w:r w:rsidR="0093458D">
        <w:rPr>
          <w:rFonts w:ascii="Palatino Linotype" w:hAnsi="Palatino Linotype" w:cs="Arial"/>
          <w:sz w:val="24"/>
          <w:szCs w:val="24"/>
        </w:rPr>
        <w:t xml:space="preserve">el acuerdo de clasificación </w:t>
      </w:r>
      <w:r w:rsidRPr="00546812">
        <w:rPr>
          <w:rFonts w:ascii="Palatino Linotype" w:hAnsi="Palatino Linotype" w:cs="Arial"/>
          <w:sz w:val="24"/>
          <w:szCs w:val="24"/>
        </w:rPr>
        <w:t>por no impugnar la falta de</w:t>
      </w:r>
      <w:r w:rsidR="00CF544D">
        <w:rPr>
          <w:rFonts w:ascii="Palatino Linotype" w:hAnsi="Palatino Linotype" w:cs="Arial"/>
          <w:sz w:val="24"/>
          <w:szCs w:val="24"/>
        </w:rPr>
        <w:t xml:space="preserve"> atención de un punto en específico solicitado</w:t>
      </w:r>
      <w:r w:rsidRPr="00546812">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546812" w:rsidRPr="00546812" w:rsidRDefault="00546812" w:rsidP="00DF7B12">
      <w:pPr>
        <w:pStyle w:val="Prrafodelista"/>
        <w:spacing w:before="240" w:after="0" w:line="240" w:lineRule="auto"/>
        <w:ind w:left="360" w:right="49"/>
        <w:jc w:val="both"/>
        <w:rPr>
          <w:rFonts w:ascii="Palatino Linotype" w:hAnsi="Palatino Linotype" w:cs="Arial"/>
          <w:sz w:val="24"/>
          <w:szCs w:val="24"/>
        </w:rPr>
      </w:pPr>
    </w:p>
    <w:p w:rsidR="001455FC"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w:t>
      </w:r>
      <w:r w:rsidR="001455FC">
        <w:rPr>
          <w:rFonts w:ascii="Palatino Linotype" w:hAnsi="Palatino Linotype" w:cs="Arial"/>
          <w:sz w:val="24"/>
          <w:szCs w:val="24"/>
        </w:rPr>
        <w:t>:</w:t>
      </w:r>
    </w:p>
    <w:p w:rsidR="00546812" w:rsidRDefault="0046491C" w:rsidP="001455FC">
      <w:pPr>
        <w:pStyle w:val="Prrafodelista"/>
        <w:spacing w:before="240" w:after="0" w:line="360" w:lineRule="auto"/>
        <w:ind w:left="851" w:right="1325"/>
        <w:jc w:val="both"/>
        <w:rPr>
          <w:rFonts w:ascii="Palatino Linotype" w:hAnsi="Palatino Linotype" w:cs="Arial"/>
          <w:sz w:val="24"/>
          <w:szCs w:val="24"/>
        </w:rPr>
      </w:pPr>
      <w:r w:rsidRPr="00546812">
        <w:rPr>
          <w:rFonts w:ascii="Palatino Linotype" w:hAnsi="Palatino Linotype" w:cs="Arial"/>
          <w:sz w:val="24"/>
          <w:szCs w:val="24"/>
        </w:rPr>
        <w:lastRenderedPageBreak/>
        <w:t xml:space="preserve">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A52E0" w:rsidRPr="00546812" w:rsidRDefault="00DA52E0" w:rsidP="00DF7B12">
      <w:pPr>
        <w:pStyle w:val="Prrafodelista"/>
        <w:spacing w:before="240" w:after="0" w:line="240" w:lineRule="auto"/>
        <w:ind w:left="360" w:right="49"/>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546812">
        <w:rPr>
          <w:rFonts w:ascii="Palatino Linotype" w:hAnsi="Palatino Linotype" w:cs="Arial"/>
          <w:sz w:val="24"/>
          <w:szCs w:val="24"/>
        </w:rPr>
        <w:t>Cotta</w:t>
      </w:r>
      <w:proofErr w:type="spellEnd"/>
      <w:r w:rsidRPr="00546812">
        <w:rPr>
          <w:rFonts w:ascii="Palatino Linotype" w:hAnsi="Palatino Linotype" w:cs="Arial"/>
          <w:sz w:val="24"/>
          <w:szCs w:val="24"/>
        </w:rPr>
        <w:t xml:space="preserve"> que “la obligatoriedad de la norma depende de la validez de su justificación, que es, por consiguiente el fundamento de aquella”,</w:t>
      </w:r>
      <w:r w:rsidRPr="00546812">
        <w:rPr>
          <w:rStyle w:val="Refdenotaalpie"/>
          <w:rFonts w:ascii="Palatino Linotype" w:hAnsi="Palatino Linotype" w:cs="Arial"/>
          <w:sz w:val="24"/>
          <w:szCs w:val="24"/>
        </w:rPr>
        <w:footnoteReference w:id="4"/>
      </w:r>
      <w:r w:rsidRPr="00546812">
        <w:rPr>
          <w:rFonts w:ascii="Palatino Linotype" w:hAnsi="Palatino Linotype" w:cs="Arial"/>
          <w:sz w:val="24"/>
          <w:szCs w:val="24"/>
        </w:rPr>
        <w:t xml:space="preserve"> y no puede existir validez en la aplicación de un criterio que propicia una riesgosa afectación al derecho de acceso a la información.</w:t>
      </w:r>
    </w:p>
    <w:p w:rsidR="00546812" w:rsidRPr="00546812" w:rsidRDefault="00546812" w:rsidP="00DF7B12">
      <w:pPr>
        <w:pStyle w:val="Prrafodelista"/>
        <w:spacing w:line="240" w:lineRule="auto"/>
        <w:rPr>
          <w:rFonts w:ascii="Palatino Linotype" w:hAnsi="Palatino Linotype" w:cs="Arial"/>
          <w:sz w:val="24"/>
          <w:szCs w:val="24"/>
        </w:rPr>
      </w:pPr>
    </w:p>
    <w:p w:rsidR="001455FC"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Respetar;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Proteger;</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lastRenderedPageBreak/>
        <w:t xml:space="preserve">Garantizar; y, </w:t>
      </w:r>
    </w:p>
    <w:p w:rsidR="001455FC" w:rsidRDefault="0046491C" w:rsidP="001455FC">
      <w:pPr>
        <w:pStyle w:val="Prrafodelista"/>
        <w:numPr>
          <w:ilvl w:val="0"/>
          <w:numId w:val="31"/>
        </w:numPr>
        <w:spacing w:before="240" w:after="0" w:line="360" w:lineRule="auto"/>
        <w:ind w:left="2127" w:right="49"/>
        <w:jc w:val="both"/>
        <w:rPr>
          <w:rFonts w:ascii="Palatino Linotype" w:hAnsi="Palatino Linotype" w:cs="Arial"/>
          <w:sz w:val="24"/>
          <w:szCs w:val="24"/>
        </w:rPr>
      </w:pPr>
      <w:r w:rsidRPr="00546812">
        <w:rPr>
          <w:rFonts w:ascii="Palatino Linotype" w:hAnsi="Palatino Linotype" w:cs="Arial"/>
          <w:sz w:val="24"/>
          <w:szCs w:val="24"/>
        </w:rPr>
        <w:t xml:space="preserve">Promover los derechos humanos, </w:t>
      </w:r>
    </w:p>
    <w:p w:rsidR="001455FC" w:rsidRPr="001455FC" w:rsidRDefault="001455FC" w:rsidP="001455FC">
      <w:pPr>
        <w:pStyle w:val="Prrafodelista"/>
        <w:spacing w:line="240" w:lineRule="auto"/>
        <w:rPr>
          <w:rFonts w:ascii="Palatino Linotype" w:hAnsi="Palatino Linotype" w:cs="Arial"/>
          <w:sz w:val="24"/>
          <w:szCs w:val="24"/>
        </w:rPr>
      </w:pPr>
    </w:p>
    <w:p w:rsidR="001455FC" w:rsidRDefault="001455FC" w:rsidP="00546812">
      <w:pPr>
        <w:pStyle w:val="Prrafodelista"/>
        <w:numPr>
          <w:ilvl w:val="0"/>
          <w:numId w:val="1"/>
        </w:numPr>
        <w:spacing w:before="240" w:after="0" w:line="360" w:lineRule="auto"/>
        <w:ind w:right="49"/>
        <w:jc w:val="both"/>
        <w:rPr>
          <w:rFonts w:ascii="Palatino Linotype" w:hAnsi="Palatino Linotype" w:cs="Arial"/>
          <w:sz w:val="24"/>
          <w:szCs w:val="24"/>
        </w:rPr>
      </w:pPr>
      <w:r>
        <w:rPr>
          <w:rFonts w:ascii="Palatino Linotype" w:hAnsi="Palatino Linotype" w:cs="Arial"/>
          <w:sz w:val="24"/>
          <w:szCs w:val="24"/>
        </w:rPr>
        <w:t>D</w:t>
      </w:r>
      <w:r w:rsidR="0046491C" w:rsidRPr="00546812">
        <w:rPr>
          <w:rFonts w:ascii="Palatino Linotype" w:hAnsi="Palatino Linotype" w:cs="Arial"/>
          <w:sz w:val="24"/>
          <w:szCs w:val="24"/>
        </w:rPr>
        <w:t xml:space="preserve">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0046491C" w:rsidRPr="00546812">
        <w:rPr>
          <w:rFonts w:ascii="Palatino Linotype" w:hAnsi="Palatino Linotype" w:cs="Arial"/>
          <w:b/>
          <w:sz w:val="24"/>
          <w:szCs w:val="24"/>
        </w:rPr>
        <w:t>el deber que tienen los órganos del Estado, dentro del margen de sus atribuciones, de prevenir violaciones a los derechos fundamentales,</w:t>
      </w:r>
      <w:r w:rsidR="0046491C" w:rsidRPr="00546812">
        <w:rPr>
          <w:rFonts w:ascii="Palatino Linotype" w:hAnsi="Palatino Linotype" w:cs="Arial"/>
          <w:sz w:val="24"/>
          <w:szCs w:val="24"/>
        </w:rPr>
        <w:t xml:space="preserve"> ya sea que provengan de una autoridad o de algún particular y, por ello, </w:t>
      </w:r>
      <w:r w:rsidR="0046491C" w:rsidRPr="00546812">
        <w:rPr>
          <w:rFonts w:ascii="Palatino Linotype" w:hAnsi="Palatino Linotype" w:cs="Arial"/>
          <w:b/>
          <w:sz w:val="24"/>
          <w:szCs w:val="24"/>
        </w:rPr>
        <w:t>debe contarse</w:t>
      </w:r>
      <w:r w:rsidR="0046491C" w:rsidRPr="00546812">
        <w:rPr>
          <w:rFonts w:ascii="Palatino Linotype" w:hAnsi="Palatino Linotype" w:cs="Arial"/>
          <w:sz w:val="24"/>
          <w:szCs w:val="24"/>
        </w:rPr>
        <w:t xml:space="preserve"> tanto </w:t>
      </w:r>
      <w:r w:rsidR="0046491C" w:rsidRPr="00546812">
        <w:rPr>
          <w:rFonts w:ascii="Palatino Linotype" w:hAnsi="Palatino Linotype" w:cs="Arial"/>
          <w:b/>
          <w:sz w:val="24"/>
          <w:szCs w:val="24"/>
        </w:rPr>
        <w:t>con mecanismos</w:t>
      </w:r>
      <w:r w:rsidR="0046491C" w:rsidRPr="00546812">
        <w:rPr>
          <w:rFonts w:ascii="Palatino Linotype" w:hAnsi="Palatino Linotype" w:cs="Arial"/>
          <w:sz w:val="24"/>
          <w:szCs w:val="24"/>
        </w:rPr>
        <w:t xml:space="preserve"> de vigilancia como </w:t>
      </w:r>
      <w:r w:rsidR="0046491C" w:rsidRPr="00546812">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0046491C" w:rsidRPr="00546812">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w:t>
      </w:r>
    </w:p>
    <w:p w:rsidR="001455FC" w:rsidRDefault="001455FC" w:rsidP="001455FC">
      <w:pPr>
        <w:pStyle w:val="Prrafodelista"/>
        <w:spacing w:before="240" w:after="0" w:line="360" w:lineRule="auto"/>
        <w:ind w:left="360" w:right="49"/>
        <w:jc w:val="both"/>
        <w:rPr>
          <w:rFonts w:ascii="Palatino Linotype" w:hAnsi="Palatino Linotype" w:cs="Arial"/>
          <w:sz w:val="24"/>
          <w:szCs w:val="24"/>
        </w:rPr>
      </w:pPr>
    </w:p>
    <w:p w:rsidR="00546812"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De ahí que, una vez conocido el riesgo de vulneración a un derecho humano, el Estado incumple su obligación si no realiza acción alguna, sobre todo, porque, en el caso de sus propios agentes, está obligado a saber todo lo que hacen. [TA] </w:t>
      </w:r>
      <w:r w:rsidRPr="00546812">
        <w:rPr>
          <w:rFonts w:ascii="Palatino Linotype" w:hAnsi="Palatino Linotype" w:cs="Arial"/>
          <w:sz w:val="24"/>
          <w:szCs w:val="24"/>
        </w:rPr>
        <w:lastRenderedPageBreak/>
        <w:t>Tesis: XXVII.3o.3 CS (10a.) Tribunales Colegiados de Circuito. Décima Época, Gaceta del Semanario Judicial de la Federación, Libro 11, Octubre de 2014, Tomo III, Página: 2840.</w:t>
      </w:r>
    </w:p>
    <w:p w:rsidR="00546812" w:rsidRPr="00546812" w:rsidRDefault="00546812" w:rsidP="00DF7B12">
      <w:pPr>
        <w:pStyle w:val="Prrafodelista"/>
        <w:spacing w:before="240" w:after="0" w:line="240" w:lineRule="auto"/>
        <w:ind w:left="360" w:right="49"/>
        <w:jc w:val="both"/>
        <w:rPr>
          <w:rFonts w:ascii="Palatino Linotype" w:hAnsi="Palatino Linotype" w:cs="Arial"/>
          <w:sz w:val="24"/>
          <w:szCs w:val="24"/>
        </w:rPr>
      </w:pPr>
    </w:p>
    <w:p w:rsidR="00A80A1A"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546812">
        <w:rPr>
          <w:rFonts w:ascii="Palatino Linotype" w:hAnsi="Palatino Linotype" w:cs="Arial"/>
          <w:b/>
          <w:sz w:val="24"/>
          <w:szCs w:val="24"/>
        </w:rPr>
        <w:t>SUJETOS OBLIGADOS</w:t>
      </w:r>
      <w:r w:rsidRPr="00546812">
        <w:rPr>
          <w:rFonts w:ascii="Palatino Linotype" w:hAnsi="Palatino Linotype" w:cs="Arial"/>
          <w:sz w:val="24"/>
          <w:szCs w:val="24"/>
        </w:rPr>
        <w:t xml:space="preserve"> sea evidente la falta de alguno de ellos, en ese tenor los particulares se ven impedidos, en los hechos, a acceder a una información que fue solicitada. </w:t>
      </w:r>
    </w:p>
    <w:p w:rsidR="00A80A1A" w:rsidRPr="00A80A1A" w:rsidRDefault="00A80A1A" w:rsidP="00DF7B12">
      <w:pPr>
        <w:pStyle w:val="Prrafodelista"/>
        <w:spacing w:line="240" w:lineRule="auto"/>
        <w:rPr>
          <w:rFonts w:ascii="Palatino Linotype" w:hAnsi="Palatino Linotype" w:cs="Arial"/>
          <w:sz w:val="24"/>
          <w:szCs w:val="24"/>
        </w:rPr>
      </w:pPr>
    </w:p>
    <w:p w:rsid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46812" w:rsidRPr="00546812" w:rsidRDefault="00546812" w:rsidP="00DF7B12">
      <w:pPr>
        <w:pStyle w:val="Prrafodelista"/>
        <w:spacing w:line="240" w:lineRule="auto"/>
        <w:rPr>
          <w:rFonts w:ascii="Palatino Linotype" w:hAnsi="Palatino Linotype" w:cs="Arial"/>
          <w:szCs w:val="24"/>
        </w:rPr>
      </w:pPr>
    </w:p>
    <w:p w:rsidR="0046491C" w:rsidRPr="00546812"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546812">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Pr="00546812">
        <w:rPr>
          <w:rFonts w:ascii="Palatino Linotype" w:hAnsi="Palatino Linotype" w:cs="Arial"/>
          <w:sz w:val="24"/>
          <w:szCs w:val="24"/>
        </w:rPr>
        <w:lastRenderedPageBreak/>
        <w:t>procedibilidad, ya que en todo momento nos encontramos ante un derecho más alto que, puede considerarse en los siguientes términos:</w:t>
      </w:r>
    </w:p>
    <w:p w:rsidR="0001046D" w:rsidRPr="00072966" w:rsidRDefault="0001046D" w:rsidP="00DF7B12">
      <w:pPr>
        <w:pStyle w:val="Prrafodelista"/>
        <w:spacing w:after="0" w:line="240" w:lineRule="auto"/>
        <w:ind w:left="284"/>
        <w:jc w:val="both"/>
        <w:rPr>
          <w:rFonts w:ascii="Palatino Linotype" w:hAnsi="Palatino Linotype" w:cs="Arial"/>
          <w:sz w:val="24"/>
          <w:szCs w:val="24"/>
        </w:rPr>
      </w:pPr>
    </w:p>
    <w:p w:rsidR="0046491C" w:rsidRPr="001455FC" w:rsidRDefault="0046491C" w:rsidP="00E34F08">
      <w:pPr>
        <w:spacing w:after="0" w:line="360" w:lineRule="auto"/>
        <w:ind w:left="1134" w:right="618"/>
        <w:jc w:val="both"/>
        <w:rPr>
          <w:rFonts w:ascii="Palatino Linotype" w:hAnsi="Palatino Linotype" w:cs="Arial"/>
          <w:i/>
          <w:sz w:val="24"/>
        </w:rPr>
      </w:pPr>
      <w:r w:rsidRPr="001455FC">
        <w:rPr>
          <w:rFonts w:ascii="Palatino Linotype" w:hAnsi="Palatino Linotype" w:cs="Arial"/>
          <w:i/>
          <w:sz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1455FC">
        <w:rPr>
          <w:rFonts w:ascii="Palatino Linotype" w:hAnsi="Palatino Linotype" w:cs="Arial"/>
          <w:i/>
          <w:sz w:val="24"/>
        </w:rPr>
        <w:t>ocasionalidad</w:t>
      </w:r>
      <w:proofErr w:type="spellEnd"/>
      <w:r w:rsidRPr="001455FC">
        <w:rPr>
          <w:rFonts w:ascii="Palatino Linotype" w:hAnsi="Palatino Linotype" w:cs="Arial"/>
          <w:i/>
          <w:sz w:val="24"/>
        </w:rPr>
        <w:t xml:space="preserve"> de las presiones sociales que se ejercen sobre el mismo”.</w:t>
      </w:r>
      <w:r w:rsidRPr="001455FC">
        <w:rPr>
          <w:rStyle w:val="Refdenotaalpie"/>
          <w:rFonts w:ascii="Palatino Linotype" w:hAnsi="Palatino Linotype" w:cs="Arial"/>
          <w:i/>
          <w:sz w:val="24"/>
        </w:rPr>
        <w:footnoteReference w:id="5"/>
      </w:r>
    </w:p>
    <w:p w:rsidR="0046491C" w:rsidRPr="00072966" w:rsidRDefault="0046491C" w:rsidP="00546812">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DF7B12">
      <w:pPr>
        <w:pStyle w:val="Prrafodelista"/>
        <w:spacing w:after="0" w:line="240" w:lineRule="auto"/>
        <w:ind w:left="426"/>
        <w:jc w:val="both"/>
        <w:rPr>
          <w:rFonts w:ascii="Palatino Linotype" w:hAnsi="Palatino Linotype" w:cs="Arial"/>
          <w:sz w:val="24"/>
          <w:szCs w:val="24"/>
        </w:rPr>
      </w:pPr>
    </w:p>
    <w:p w:rsidR="00DE24C8" w:rsidRDefault="0046491C" w:rsidP="00F841A1">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w:t>
      </w:r>
      <w:r w:rsidRPr="00072966">
        <w:rPr>
          <w:rFonts w:ascii="Palatino Linotype" w:hAnsi="Palatino Linotype" w:cs="Arial"/>
          <w:sz w:val="24"/>
          <w:szCs w:val="24"/>
        </w:rPr>
        <w:lastRenderedPageBreak/>
        <w:t xml:space="preserve">rubros deben declararse atendidos, pues se infiere que el recurrente ésta conforme con la información entregada al no contravenir la misma”. </w:t>
      </w:r>
    </w:p>
    <w:p w:rsidR="00DE24C8" w:rsidRPr="00DE24C8" w:rsidRDefault="00DE24C8" w:rsidP="00DF7B12">
      <w:pPr>
        <w:pStyle w:val="Prrafodelista"/>
        <w:spacing w:before="240" w:after="0" w:line="240" w:lineRule="auto"/>
        <w:ind w:left="360" w:right="49"/>
        <w:jc w:val="both"/>
        <w:rPr>
          <w:rFonts w:ascii="Palatino Linotype" w:hAnsi="Palatino Linotype" w:cs="Arial"/>
          <w:sz w:val="24"/>
          <w:szCs w:val="24"/>
        </w:rPr>
      </w:pPr>
    </w:p>
    <w:p w:rsidR="00DA52E0" w:rsidRPr="00A80A1A" w:rsidRDefault="0046491C" w:rsidP="00A80A1A">
      <w:pPr>
        <w:pStyle w:val="Prrafodelista"/>
        <w:numPr>
          <w:ilvl w:val="0"/>
          <w:numId w:val="1"/>
        </w:numPr>
        <w:spacing w:before="240" w:after="0" w:line="360" w:lineRule="auto"/>
        <w:ind w:right="49"/>
        <w:jc w:val="both"/>
        <w:rPr>
          <w:rFonts w:ascii="Palatino Linotype" w:hAnsi="Palatino Linotype" w:cs="Arial"/>
          <w:sz w:val="24"/>
          <w:szCs w:val="24"/>
        </w:rPr>
      </w:pPr>
      <w:r w:rsidRPr="00072966">
        <w:rPr>
          <w:rFonts w:ascii="Palatino Linotype" w:hAnsi="Palatino Linotype" w:cs="Arial"/>
          <w:sz w:val="24"/>
          <w:szCs w:val="24"/>
        </w:rPr>
        <w:t>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A52E0" w:rsidRDefault="00DA52E0" w:rsidP="00DA52E0">
      <w:pPr>
        <w:spacing w:after="0" w:line="360" w:lineRule="auto"/>
        <w:ind w:left="720"/>
        <w:contextualSpacing/>
        <w:jc w:val="both"/>
        <w:rPr>
          <w:rFonts w:ascii="Palatino Linotype" w:hAnsi="Palatino Linotype" w:cs="Arial"/>
          <w:color w:val="000000" w:themeColor="text1"/>
          <w:sz w:val="24"/>
          <w:szCs w:val="24"/>
        </w:rPr>
      </w:pPr>
    </w:p>
    <w:p w:rsidR="00DA52E0" w:rsidRDefault="00DA52E0" w:rsidP="00DA52E0">
      <w:pPr>
        <w:spacing w:after="0" w:line="360" w:lineRule="auto"/>
        <w:contextualSpacing/>
        <w:jc w:val="both"/>
        <w:rPr>
          <w:rFonts w:ascii="Palatino Linotype" w:hAnsi="Palatino Linotype" w:cs="Arial"/>
          <w:color w:val="000000" w:themeColor="text1"/>
          <w:szCs w:val="24"/>
        </w:rPr>
      </w:pPr>
    </w:p>
    <w:p w:rsidR="00DA52E0" w:rsidRPr="006B5B33" w:rsidRDefault="00DA52E0" w:rsidP="00DA52E0">
      <w:pPr>
        <w:spacing w:after="0" w:line="360" w:lineRule="auto"/>
        <w:contextualSpacing/>
        <w:jc w:val="both"/>
        <w:rPr>
          <w:rFonts w:ascii="Palatino Linotype" w:hAnsi="Palatino Linotype" w:cs="Arial"/>
          <w:color w:val="000000" w:themeColor="text1"/>
          <w:szCs w:val="24"/>
        </w:rPr>
      </w:pPr>
    </w:p>
    <w:p w:rsidR="00DA52E0" w:rsidRPr="004F0E9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JOSÉ GUADALUPE LUNA HERNÁNDEZ</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sidRPr="004F0E90">
        <w:rPr>
          <w:rFonts w:ascii="Palatino Linotype" w:eastAsia="Calibri" w:hAnsi="Palatino Linotype" w:cs="Arial"/>
          <w:b/>
          <w:color w:val="000000" w:themeColor="text1"/>
          <w:sz w:val="24"/>
          <w:szCs w:val="24"/>
        </w:rPr>
        <w:t>COMISIONADO</w:t>
      </w:r>
    </w:p>
    <w:p w:rsidR="00DA52E0" w:rsidRDefault="00DA52E0" w:rsidP="00DA52E0">
      <w:pPr>
        <w:spacing w:line="360" w:lineRule="auto"/>
        <w:jc w:val="center"/>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(Rúbrica)</w:t>
      </w:r>
    </w:p>
    <w:p w:rsidR="001455FC" w:rsidRDefault="001455FC" w:rsidP="00DA52E0">
      <w:pPr>
        <w:spacing w:line="360" w:lineRule="auto"/>
        <w:jc w:val="center"/>
        <w:rPr>
          <w:rFonts w:ascii="Palatino Linotype" w:eastAsia="Calibri" w:hAnsi="Palatino Linotype" w:cs="Arial"/>
          <w:b/>
          <w:color w:val="000000" w:themeColor="text1"/>
          <w:sz w:val="24"/>
          <w:szCs w:val="24"/>
        </w:rPr>
      </w:pPr>
    </w:p>
    <w:p w:rsidR="00DA52E0" w:rsidRPr="00A640C7" w:rsidRDefault="00DA52E0" w:rsidP="00DA52E0">
      <w:pPr>
        <w:spacing w:line="360" w:lineRule="auto"/>
        <w:rPr>
          <w:rFonts w:ascii="Palatino Linotype" w:hAnsi="Palatino Linotype"/>
          <w:b/>
          <w:sz w:val="24"/>
        </w:rPr>
      </w:pPr>
      <w:r>
        <w:rPr>
          <w:rFonts w:ascii="Palatino Linotype" w:eastAsia="Calibri" w:hAnsi="Palatino Linotype" w:cs="Arial"/>
          <w:b/>
          <w:color w:val="000000" w:themeColor="text1"/>
          <w:sz w:val="24"/>
          <w:szCs w:val="24"/>
        </w:rPr>
        <w:t>JGLH/MAG</w:t>
      </w:r>
    </w:p>
    <w:sectPr w:rsidR="00DA52E0" w:rsidRPr="00A640C7"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4B9" w:rsidRDefault="00B674B9" w:rsidP="00E706DA">
      <w:pPr>
        <w:spacing w:after="0" w:line="240" w:lineRule="auto"/>
      </w:pPr>
      <w:r>
        <w:separator/>
      </w:r>
    </w:p>
  </w:endnote>
  <w:endnote w:type="continuationSeparator" w:id="0">
    <w:p w:rsidR="00B674B9" w:rsidRDefault="00B674B9"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369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369B1">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369B1">
              <w:rPr>
                <w:rFonts w:ascii="Palatino Linotype" w:hAnsi="Palatino Linotype"/>
                <w:b/>
                <w:bCs/>
                <w:noProof/>
                <w:sz w:val="20"/>
                <w:szCs w:val="20"/>
              </w:rPr>
              <w:t>15</w:t>
            </w:r>
            <w:r w:rsidRPr="0052203D">
              <w:rPr>
                <w:rFonts w:ascii="Palatino Linotype" w:hAnsi="Palatino Linotype"/>
                <w:b/>
                <w:bCs/>
                <w:sz w:val="20"/>
                <w:szCs w:val="20"/>
              </w:rPr>
              <w:fldChar w:fldCharType="end"/>
            </w:r>
          </w:p>
        </w:sdtContent>
      </w:sdt>
    </w:sdtContent>
  </w:sdt>
  <w:p w:rsidR="00951E8B" w:rsidRDefault="002369B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2369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4B9" w:rsidRDefault="00B674B9" w:rsidP="00E706DA">
      <w:pPr>
        <w:spacing w:after="0" w:line="240" w:lineRule="auto"/>
      </w:pPr>
      <w:r>
        <w:separator/>
      </w:r>
    </w:p>
  </w:footnote>
  <w:footnote w:type="continuationSeparator" w:id="0">
    <w:p w:rsidR="00B674B9" w:rsidRDefault="00B674B9"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369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369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2369B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369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0307"/>
    <w:multiLevelType w:val="hybridMultilevel"/>
    <w:tmpl w:val="BE16E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86B75"/>
    <w:multiLevelType w:val="hybridMultilevel"/>
    <w:tmpl w:val="7210310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nsid w:val="182A35BD"/>
    <w:multiLevelType w:val="hybridMultilevel"/>
    <w:tmpl w:val="DBA045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19B85689"/>
    <w:multiLevelType w:val="hybridMultilevel"/>
    <w:tmpl w:val="19D2FD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EA965F9"/>
    <w:multiLevelType w:val="hybridMultilevel"/>
    <w:tmpl w:val="0768A1EC"/>
    <w:lvl w:ilvl="0" w:tplc="9560166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4E679B9"/>
    <w:multiLevelType w:val="hybridMultilevel"/>
    <w:tmpl w:val="D2A20FBE"/>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A846AA"/>
    <w:multiLevelType w:val="hybridMultilevel"/>
    <w:tmpl w:val="7842D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4C424AC2"/>
    <w:multiLevelType w:val="hybridMultilevel"/>
    <w:tmpl w:val="254C3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C6E328E"/>
    <w:multiLevelType w:val="hybridMultilevel"/>
    <w:tmpl w:val="47420AA0"/>
    <w:lvl w:ilvl="0" w:tplc="080A000F">
      <w:start w:val="1"/>
      <w:numFmt w:val="decimal"/>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205152E"/>
    <w:multiLevelType w:val="hybridMultilevel"/>
    <w:tmpl w:val="5D668F4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64461376"/>
    <w:multiLevelType w:val="hybridMultilevel"/>
    <w:tmpl w:val="7BA86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B04662"/>
    <w:multiLevelType w:val="hybridMultilevel"/>
    <w:tmpl w:val="BE5A3E0E"/>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
  </w:num>
  <w:num w:numId="3">
    <w:abstractNumId w:val="10"/>
  </w:num>
  <w:num w:numId="4">
    <w:abstractNumId w:val="14"/>
  </w:num>
  <w:num w:numId="5">
    <w:abstractNumId w:val="18"/>
  </w:num>
  <w:num w:numId="6">
    <w:abstractNumId w:val="20"/>
  </w:num>
  <w:num w:numId="7">
    <w:abstractNumId w:val="26"/>
  </w:num>
  <w:num w:numId="8">
    <w:abstractNumId w:val="25"/>
  </w:num>
  <w:num w:numId="9">
    <w:abstractNumId w:val="30"/>
  </w:num>
  <w:num w:numId="10">
    <w:abstractNumId w:val="3"/>
  </w:num>
  <w:num w:numId="11">
    <w:abstractNumId w:val="29"/>
  </w:num>
  <w:num w:numId="12">
    <w:abstractNumId w:val="12"/>
  </w:num>
  <w:num w:numId="13">
    <w:abstractNumId w:val="5"/>
  </w:num>
  <w:num w:numId="14">
    <w:abstractNumId w:val="9"/>
  </w:num>
  <w:num w:numId="15">
    <w:abstractNumId w:val="21"/>
  </w:num>
  <w:num w:numId="16">
    <w:abstractNumId w:val="0"/>
  </w:num>
  <w:num w:numId="17">
    <w:abstractNumId w:val="4"/>
  </w:num>
  <w:num w:numId="18">
    <w:abstractNumId w:val="33"/>
  </w:num>
  <w:num w:numId="19">
    <w:abstractNumId w:val="7"/>
  </w:num>
  <w:num w:numId="20">
    <w:abstractNumId w:val="24"/>
  </w:num>
  <w:num w:numId="21">
    <w:abstractNumId w:val="17"/>
  </w:num>
  <w:num w:numId="22">
    <w:abstractNumId w:val="16"/>
  </w:num>
  <w:num w:numId="23">
    <w:abstractNumId w:val="6"/>
  </w:num>
  <w:num w:numId="24">
    <w:abstractNumId w:val="15"/>
  </w:num>
  <w:num w:numId="25">
    <w:abstractNumId w:val="27"/>
  </w:num>
  <w:num w:numId="26">
    <w:abstractNumId w:val="22"/>
  </w:num>
  <w:num w:numId="27">
    <w:abstractNumId w:val="1"/>
  </w:num>
  <w:num w:numId="28">
    <w:abstractNumId w:val="32"/>
  </w:num>
  <w:num w:numId="29">
    <w:abstractNumId w:val="13"/>
  </w:num>
  <w:num w:numId="30">
    <w:abstractNumId w:val="23"/>
  </w:num>
  <w:num w:numId="31">
    <w:abstractNumId w:val="8"/>
  </w:num>
  <w:num w:numId="32">
    <w:abstractNumId w:val="31"/>
  </w:num>
  <w:num w:numId="33">
    <w:abstractNumId w:val="2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3585D"/>
    <w:rsid w:val="0006605E"/>
    <w:rsid w:val="00072966"/>
    <w:rsid w:val="00073F0D"/>
    <w:rsid w:val="000765C4"/>
    <w:rsid w:val="000810AB"/>
    <w:rsid w:val="000951B4"/>
    <w:rsid w:val="000A3369"/>
    <w:rsid w:val="000A77B5"/>
    <w:rsid w:val="000A7B66"/>
    <w:rsid w:val="000B2003"/>
    <w:rsid w:val="000B7C6E"/>
    <w:rsid w:val="000D7900"/>
    <w:rsid w:val="000F6CBB"/>
    <w:rsid w:val="00122625"/>
    <w:rsid w:val="00143343"/>
    <w:rsid w:val="001455FC"/>
    <w:rsid w:val="0015651D"/>
    <w:rsid w:val="00164F1E"/>
    <w:rsid w:val="001754A4"/>
    <w:rsid w:val="001923C0"/>
    <w:rsid w:val="00194B6A"/>
    <w:rsid w:val="001B664C"/>
    <w:rsid w:val="001D3F34"/>
    <w:rsid w:val="0020315F"/>
    <w:rsid w:val="002036ED"/>
    <w:rsid w:val="00225026"/>
    <w:rsid w:val="002369B1"/>
    <w:rsid w:val="002372DA"/>
    <w:rsid w:val="00260D6C"/>
    <w:rsid w:val="002620E9"/>
    <w:rsid w:val="002624B2"/>
    <w:rsid w:val="002779B4"/>
    <w:rsid w:val="00281310"/>
    <w:rsid w:val="002C0734"/>
    <w:rsid w:val="002C1F75"/>
    <w:rsid w:val="002D4C34"/>
    <w:rsid w:val="002F000B"/>
    <w:rsid w:val="00300B98"/>
    <w:rsid w:val="00346DBD"/>
    <w:rsid w:val="00367E00"/>
    <w:rsid w:val="003705BB"/>
    <w:rsid w:val="003747A5"/>
    <w:rsid w:val="003C7100"/>
    <w:rsid w:val="003C7244"/>
    <w:rsid w:val="003C780E"/>
    <w:rsid w:val="003D7B9E"/>
    <w:rsid w:val="0040354A"/>
    <w:rsid w:val="00412952"/>
    <w:rsid w:val="0042345D"/>
    <w:rsid w:val="00424DE3"/>
    <w:rsid w:val="00444048"/>
    <w:rsid w:val="0046491C"/>
    <w:rsid w:val="004802BA"/>
    <w:rsid w:val="0048490F"/>
    <w:rsid w:val="0049058E"/>
    <w:rsid w:val="00532410"/>
    <w:rsid w:val="00546812"/>
    <w:rsid w:val="005527D5"/>
    <w:rsid w:val="00567EC1"/>
    <w:rsid w:val="00575478"/>
    <w:rsid w:val="00587A4C"/>
    <w:rsid w:val="005917BE"/>
    <w:rsid w:val="005A15E9"/>
    <w:rsid w:val="005A3267"/>
    <w:rsid w:val="005D79D3"/>
    <w:rsid w:val="005F54C5"/>
    <w:rsid w:val="00616B05"/>
    <w:rsid w:val="006239A7"/>
    <w:rsid w:val="00634736"/>
    <w:rsid w:val="006728FD"/>
    <w:rsid w:val="0069498B"/>
    <w:rsid w:val="006D268B"/>
    <w:rsid w:val="00717C0D"/>
    <w:rsid w:val="0072058F"/>
    <w:rsid w:val="0072136B"/>
    <w:rsid w:val="007343BB"/>
    <w:rsid w:val="00746812"/>
    <w:rsid w:val="0076241F"/>
    <w:rsid w:val="00770016"/>
    <w:rsid w:val="007879C6"/>
    <w:rsid w:val="00790E37"/>
    <w:rsid w:val="007A378A"/>
    <w:rsid w:val="007A7FAD"/>
    <w:rsid w:val="007E3EA9"/>
    <w:rsid w:val="00814A43"/>
    <w:rsid w:val="00814E97"/>
    <w:rsid w:val="008361CA"/>
    <w:rsid w:val="008370F1"/>
    <w:rsid w:val="0084329E"/>
    <w:rsid w:val="00850252"/>
    <w:rsid w:val="00856FA1"/>
    <w:rsid w:val="00872522"/>
    <w:rsid w:val="008822B3"/>
    <w:rsid w:val="008911CF"/>
    <w:rsid w:val="008920A8"/>
    <w:rsid w:val="008A3D2D"/>
    <w:rsid w:val="008B03B6"/>
    <w:rsid w:val="008D57F6"/>
    <w:rsid w:val="008E1DCC"/>
    <w:rsid w:val="008F3E81"/>
    <w:rsid w:val="00900E75"/>
    <w:rsid w:val="00902248"/>
    <w:rsid w:val="009156AC"/>
    <w:rsid w:val="0093177C"/>
    <w:rsid w:val="00933200"/>
    <w:rsid w:val="0093458D"/>
    <w:rsid w:val="00937D7D"/>
    <w:rsid w:val="0094239C"/>
    <w:rsid w:val="0095525C"/>
    <w:rsid w:val="0097582C"/>
    <w:rsid w:val="00987663"/>
    <w:rsid w:val="009C43B4"/>
    <w:rsid w:val="009C4EF6"/>
    <w:rsid w:val="00A07EF4"/>
    <w:rsid w:val="00A10B30"/>
    <w:rsid w:val="00A26E97"/>
    <w:rsid w:val="00A31633"/>
    <w:rsid w:val="00A54D9D"/>
    <w:rsid w:val="00A626F8"/>
    <w:rsid w:val="00A63717"/>
    <w:rsid w:val="00A80A1A"/>
    <w:rsid w:val="00AA49F3"/>
    <w:rsid w:val="00AB023D"/>
    <w:rsid w:val="00AB126B"/>
    <w:rsid w:val="00AC381E"/>
    <w:rsid w:val="00AC430A"/>
    <w:rsid w:val="00AD16A9"/>
    <w:rsid w:val="00AE4797"/>
    <w:rsid w:val="00B120CA"/>
    <w:rsid w:val="00B56CFE"/>
    <w:rsid w:val="00B674B9"/>
    <w:rsid w:val="00BA3743"/>
    <w:rsid w:val="00BB22FB"/>
    <w:rsid w:val="00BB5E12"/>
    <w:rsid w:val="00BC7B0C"/>
    <w:rsid w:val="00BE555F"/>
    <w:rsid w:val="00BE66A6"/>
    <w:rsid w:val="00BF3534"/>
    <w:rsid w:val="00BF43E0"/>
    <w:rsid w:val="00C33F49"/>
    <w:rsid w:val="00C371B0"/>
    <w:rsid w:val="00C40065"/>
    <w:rsid w:val="00C44341"/>
    <w:rsid w:val="00C56561"/>
    <w:rsid w:val="00C7250F"/>
    <w:rsid w:val="00C74552"/>
    <w:rsid w:val="00CE0823"/>
    <w:rsid w:val="00CF544D"/>
    <w:rsid w:val="00D11CB8"/>
    <w:rsid w:val="00D26D87"/>
    <w:rsid w:val="00D33AF9"/>
    <w:rsid w:val="00D363F7"/>
    <w:rsid w:val="00D42526"/>
    <w:rsid w:val="00D447F1"/>
    <w:rsid w:val="00D47536"/>
    <w:rsid w:val="00D72985"/>
    <w:rsid w:val="00D7456D"/>
    <w:rsid w:val="00D7508B"/>
    <w:rsid w:val="00D76084"/>
    <w:rsid w:val="00DA52E0"/>
    <w:rsid w:val="00DC63EE"/>
    <w:rsid w:val="00DD7C56"/>
    <w:rsid w:val="00DE24C8"/>
    <w:rsid w:val="00DF6665"/>
    <w:rsid w:val="00DF6F7E"/>
    <w:rsid w:val="00DF7B12"/>
    <w:rsid w:val="00E26799"/>
    <w:rsid w:val="00E34F08"/>
    <w:rsid w:val="00E41EA1"/>
    <w:rsid w:val="00E61AB8"/>
    <w:rsid w:val="00E706DA"/>
    <w:rsid w:val="00E75DEF"/>
    <w:rsid w:val="00E83E93"/>
    <w:rsid w:val="00E90EB5"/>
    <w:rsid w:val="00E91F07"/>
    <w:rsid w:val="00E94FBF"/>
    <w:rsid w:val="00EA711B"/>
    <w:rsid w:val="00EC772B"/>
    <w:rsid w:val="00EF0C2D"/>
    <w:rsid w:val="00EF6D60"/>
    <w:rsid w:val="00F45161"/>
    <w:rsid w:val="00F46E78"/>
    <w:rsid w:val="00F5642A"/>
    <w:rsid w:val="00F841A1"/>
    <w:rsid w:val="00F857BC"/>
    <w:rsid w:val="00F86F9B"/>
    <w:rsid w:val="00FA59F5"/>
    <w:rsid w:val="00FC03CA"/>
    <w:rsid w:val="00FC2009"/>
    <w:rsid w:val="00FC228B"/>
    <w:rsid w:val="00FC2309"/>
    <w:rsid w:val="00FD4693"/>
    <w:rsid w:val="00FE5690"/>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7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3C7244"/>
    <w:pPr>
      <w:tabs>
        <w:tab w:val="left" w:pos="440"/>
        <w:tab w:val="right" w:leader="dot" w:pos="8828"/>
      </w:tabs>
      <w:spacing w:after="100" w:line="72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unhideWhenUsed/>
    <w:rsid w:val="00DA52E0"/>
    <w:pPr>
      <w:spacing w:after="100"/>
      <w:ind w:left="220"/>
    </w:pPr>
  </w:style>
  <w:style w:type="character" w:customStyle="1" w:styleId="Ttulo2Car">
    <w:name w:val="Título 2 Car"/>
    <w:basedOn w:val="Fuentedeprrafopredeter"/>
    <w:link w:val="Ttulo2"/>
    <w:uiPriority w:val="9"/>
    <w:rsid w:val="005D79D3"/>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7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DF10-AA70-4DD5-A0CB-67FD2753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3034</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2017-05-22T19:49:00Z</cp:lastPrinted>
  <dcterms:created xsi:type="dcterms:W3CDTF">2018-12-17T17:44:00Z</dcterms:created>
  <dcterms:modified xsi:type="dcterms:W3CDTF">2019-01-30T01:48:00Z</dcterms:modified>
</cp:coreProperties>
</file>